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小标宋简体"/>
          <w:b/>
          <w:kern w:val="2"/>
          <w:sz w:val="44"/>
          <w:szCs w:val="44"/>
        </w:rPr>
      </w:pPr>
    </w:p>
    <w:p>
      <w:pPr>
        <w:spacing w:line="500" w:lineRule="exact"/>
        <w:jc w:val="center"/>
        <w:rPr>
          <w:rFonts w:ascii="方正小标宋简体" w:hAnsi="黑体" w:eastAsia="方正小标宋简体" w:cs="黑体"/>
          <w:kern w:val="2"/>
          <w:sz w:val="44"/>
          <w:szCs w:val="44"/>
        </w:rPr>
      </w:pPr>
      <w:r>
        <w:rPr>
          <w:rFonts w:hint="eastAsia" w:ascii="方正小标宋简体" w:hAnsi="黑体" w:eastAsia="方正小标宋简体" w:cs="黑体"/>
          <w:kern w:val="2"/>
          <w:sz w:val="44"/>
          <w:szCs w:val="44"/>
        </w:rPr>
        <w:t>四川蜀道铁路运营管理集团有限责任公司</w:t>
      </w:r>
    </w:p>
    <w:p>
      <w:pPr>
        <w:spacing w:line="500" w:lineRule="exact"/>
        <w:jc w:val="center"/>
        <w:rPr>
          <w:rFonts w:ascii="方正小标宋简体" w:hAnsi="黑体" w:eastAsia="方正小标宋简体" w:cs="黑体"/>
          <w:kern w:val="2"/>
          <w:sz w:val="44"/>
          <w:szCs w:val="44"/>
        </w:rPr>
      </w:pPr>
      <w:r>
        <w:rPr>
          <w:rFonts w:hint="eastAsia" w:ascii="方正小标宋简体" w:hAnsi="黑体" w:eastAsia="方正小标宋简体" w:cs="黑体"/>
          <w:kern w:val="2"/>
          <w:sz w:val="44"/>
          <w:szCs w:val="44"/>
        </w:rPr>
        <w:t>2</w:t>
      </w:r>
      <w:r>
        <w:rPr>
          <w:rFonts w:ascii="方正小标宋简体" w:hAnsi="黑体" w:eastAsia="方正小标宋简体" w:cs="黑体"/>
          <w:kern w:val="2"/>
          <w:sz w:val="44"/>
          <w:szCs w:val="44"/>
        </w:rPr>
        <w:t>022年</w:t>
      </w:r>
      <w:r>
        <w:rPr>
          <w:rFonts w:hint="eastAsia" w:ascii="方正小标宋简体" w:hAnsi="黑体" w:eastAsia="方正小标宋简体" w:cs="黑体"/>
          <w:kern w:val="2"/>
          <w:sz w:val="44"/>
          <w:szCs w:val="44"/>
        </w:rPr>
        <w:t>税务顾问服务项目</w:t>
      </w:r>
    </w:p>
    <w:p>
      <w:pPr>
        <w:jc w:val="center"/>
        <w:rPr>
          <w:rFonts w:ascii="方正小标宋简体" w:hAnsi="黑体" w:eastAsia="方正小标宋简体" w:cs="黑体"/>
          <w:kern w:val="2"/>
          <w:sz w:val="44"/>
          <w:szCs w:val="44"/>
        </w:rPr>
      </w:pPr>
    </w:p>
    <w:p>
      <w:pPr>
        <w:jc w:val="center"/>
        <w:rPr>
          <w:rFonts w:ascii="方正小标宋简体" w:hAnsi="黑体" w:eastAsia="方正小标宋简体" w:cs="黑体"/>
          <w:sz w:val="84"/>
        </w:rPr>
      </w:pPr>
    </w:p>
    <w:p>
      <w:pPr>
        <w:pStyle w:val="21"/>
        <w:ind w:left="0" w:leftChars="0" w:firstLine="0" w:firstLineChars="0"/>
        <w:rPr>
          <w:rFonts w:ascii="方正小标宋简体" w:hAnsi="黑体" w:eastAsia="方正小标宋简体" w:cs="黑体"/>
        </w:rPr>
      </w:pPr>
    </w:p>
    <w:p>
      <w:pPr>
        <w:jc w:val="center"/>
        <w:rPr>
          <w:rFonts w:ascii="方正小标宋简体" w:hAnsi="黑体" w:eastAsia="方正小标宋简体" w:cs="黑体"/>
          <w:kern w:val="2"/>
          <w:sz w:val="84"/>
          <w:szCs w:val="84"/>
        </w:rPr>
      </w:pPr>
      <w:r>
        <w:rPr>
          <w:rFonts w:hint="eastAsia" w:ascii="方正小标宋简体" w:hAnsi="黑体" w:eastAsia="方正小标宋简体" w:cs="黑体"/>
          <w:kern w:val="2"/>
          <w:sz w:val="84"/>
          <w:szCs w:val="84"/>
        </w:rPr>
        <w:t>比 选 文 件</w:t>
      </w:r>
    </w:p>
    <w:p>
      <w:pPr>
        <w:pStyle w:val="21"/>
        <w:ind w:left="440" w:firstLine="440"/>
        <w:rPr>
          <w:rFonts w:ascii="方正小标宋简体" w:eastAsia="方正小标宋简体"/>
        </w:rPr>
      </w:pPr>
    </w:p>
    <w:p>
      <w:pPr>
        <w:jc w:val="center"/>
        <w:rPr>
          <w:rFonts w:ascii="方正小标宋简体" w:hAnsi="宋体" w:eastAsia="方正小标宋简体" w:cs="宋体"/>
          <w:sz w:val="84"/>
        </w:rPr>
      </w:pPr>
    </w:p>
    <w:p>
      <w:pPr>
        <w:pStyle w:val="21"/>
        <w:ind w:left="440" w:firstLine="440"/>
        <w:rPr>
          <w:rFonts w:ascii="方正小标宋简体" w:hAnsi="宋体" w:eastAsia="方正小标宋简体" w:cs="宋体"/>
        </w:rPr>
      </w:pPr>
    </w:p>
    <w:p>
      <w:pPr>
        <w:pStyle w:val="21"/>
        <w:ind w:left="440" w:firstLine="440"/>
        <w:rPr>
          <w:rFonts w:ascii="方正小标宋简体" w:hAnsi="宋体" w:eastAsia="方正小标宋简体" w:cs="宋体"/>
        </w:rPr>
      </w:pPr>
    </w:p>
    <w:p>
      <w:pPr>
        <w:rPr>
          <w:rFonts w:ascii="方正小标宋简体" w:hAnsi="宋体" w:eastAsia="方正小标宋简体" w:cs="宋体"/>
          <w:sz w:val="32"/>
          <w:szCs w:val="32"/>
        </w:rPr>
      </w:pPr>
    </w:p>
    <w:p>
      <w:pPr>
        <w:spacing w:line="500" w:lineRule="exact"/>
        <w:jc w:val="center"/>
        <w:rPr>
          <w:rFonts w:ascii="方正小标宋简体" w:eastAsia="方正小标宋简体"/>
          <w:kern w:val="2"/>
          <w:sz w:val="32"/>
          <w:szCs w:val="32"/>
        </w:rPr>
      </w:pPr>
      <w:r>
        <w:rPr>
          <w:rFonts w:hint="eastAsia" w:ascii="方正小标宋简体" w:eastAsia="方正小标宋简体"/>
          <w:kern w:val="2"/>
          <w:sz w:val="32"/>
          <w:szCs w:val="32"/>
        </w:rPr>
        <w:t>比选人:</w:t>
      </w:r>
      <w:r>
        <w:rPr>
          <w:rFonts w:hint="eastAsia"/>
        </w:rPr>
        <w:t xml:space="preserve"> </w:t>
      </w:r>
      <w:r>
        <w:rPr>
          <w:rFonts w:hint="eastAsia" w:ascii="方正小标宋简体" w:eastAsia="方正小标宋简体"/>
          <w:kern w:val="2"/>
          <w:sz w:val="32"/>
          <w:szCs w:val="32"/>
        </w:rPr>
        <w:t>四川蜀道铁路运营管理集团有限责任公司</w:t>
      </w:r>
    </w:p>
    <w:p>
      <w:pPr>
        <w:autoSpaceDE w:val="0"/>
        <w:autoSpaceDN w:val="0"/>
        <w:spacing w:line="300" w:lineRule="exact"/>
        <w:jc w:val="center"/>
        <w:rPr>
          <w:rFonts w:ascii="方正小标宋简体" w:hAnsi="黑体" w:eastAsia="方正小标宋简体" w:cs="黑体"/>
          <w:sz w:val="40"/>
          <w:szCs w:val="40"/>
        </w:rPr>
      </w:pPr>
    </w:p>
    <w:p>
      <w:pPr>
        <w:autoSpaceDE w:val="0"/>
        <w:autoSpaceDN w:val="0"/>
        <w:jc w:val="center"/>
        <w:rPr>
          <w:rFonts w:ascii="方正小标宋简体" w:hAnsi="黑体" w:eastAsia="方正小标宋简体" w:cs="黑体"/>
          <w:kern w:val="2"/>
          <w:sz w:val="32"/>
          <w:szCs w:val="32"/>
        </w:rPr>
      </w:pPr>
      <w:r>
        <w:rPr>
          <w:rFonts w:hint="eastAsia" w:ascii="方正小标宋简体" w:hAnsi="黑体" w:eastAsia="方正小标宋简体" w:cs="黑体"/>
          <w:kern w:val="2"/>
          <w:sz w:val="32"/>
          <w:szCs w:val="32"/>
        </w:rPr>
        <w:t>202</w:t>
      </w:r>
      <w:r>
        <w:rPr>
          <w:rFonts w:ascii="方正小标宋简体" w:hAnsi="黑体" w:eastAsia="方正小标宋简体" w:cs="黑体"/>
          <w:kern w:val="2"/>
          <w:sz w:val="32"/>
          <w:szCs w:val="32"/>
        </w:rPr>
        <w:t>2</w:t>
      </w:r>
      <w:r>
        <w:rPr>
          <w:rFonts w:hint="eastAsia" w:ascii="方正小标宋简体" w:hAnsi="黑体" w:eastAsia="方正小标宋简体" w:cs="黑体"/>
          <w:kern w:val="2"/>
          <w:sz w:val="32"/>
          <w:szCs w:val="32"/>
        </w:rPr>
        <w:t>年</w:t>
      </w:r>
      <w:r>
        <w:rPr>
          <w:rFonts w:hint="eastAsia" w:ascii="方正小标宋简体" w:hAnsi="黑体" w:eastAsia="方正小标宋简体" w:cs="黑体"/>
          <w:kern w:val="2"/>
          <w:sz w:val="32"/>
          <w:szCs w:val="32"/>
          <w:lang w:val="en-US" w:eastAsia="zh-CN"/>
        </w:rPr>
        <w:t>9</w:t>
      </w:r>
      <w:r>
        <w:rPr>
          <w:rFonts w:hint="eastAsia" w:ascii="方正小标宋简体" w:hAnsi="黑体" w:eastAsia="方正小标宋简体" w:cs="黑体"/>
          <w:kern w:val="2"/>
          <w:sz w:val="32"/>
          <w:szCs w:val="32"/>
        </w:rPr>
        <w:t>月 成都</w:t>
      </w:r>
    </w:p>
    <w:p>
      <w:pPr>
        <w:spacing w:line="360" w:lineRule="auto"/>
        <w:jc w:val="center"/>
        <w:outlineLvl w:val="0"/>
        <w:rPr>
          <w:rFonts w:ascii="宋体" w:hAnsi="宋体" w:cs="宋体"/>
          <w:b/>
          <w:sz w:val="44"/>
          <w:szCs w:val="44"/>
          <w:highlight w:val="yellow"/>
        </w:rPr>
        <w:sectPr>
          <w:footerReference r:id="rId4" w:type="first"/>
          <w:pgSz w:w="11906" w:h="16838"/>
          <w:pgMar w:top="2098" w:right="1474" w:bottom="1984" w:left="1587" w:header="851" w:footer="992" w:gutter="0"/>
          <w:pgNumType w:fmt="numberInDash"/>
          <w:cols w:space="720" w:num="1"/>
          <w:docGrid w:linePitch="312" w:charSpace="0"/>
        </w:sectPr>
      </w:pPr>
    </w:p>
    <w:p>
      <w:pPr>
        <w:pStyle w:val="21"/>
        <w:ind w:left="440" w:firstLine="440"/>
      </w:pPr>
      <w:bookmarkStart w:id="0" w:name="_Toc25051_WPSOffice_Type1"/>
    </w:p>
    <w:sdt>
      <w:sdtPr>
        <w:rPr>
          <w:rFonts w:ascii="Tahoma" w:hAnsi="Tahoma" w:eastAsia="微软雅黑" w:cstheme="minorBidi"/>
          <w:color w:val="auto"/>
          <w:sz w:val="22"/>
          <w:szCs w:val="22"/>
          <w:lang w:val="zh-CN"/>
        </w:rPr>
        <w:id w:val="1878354199"/>
      </w:sdtPr>
      <w:sdtEndPr>
        <w:rPr>
          <w:rFonts w:ascii="Tahoma" w:hAnsi="Tahoma" w:eastAsia="微软雅黑" w:cstheme="minorBidi"/>
          <w:b/>
          <w:bCs/>
          <w:color w:val="auto"/>
          <w:sz w:val="22"/>
          <w:szCs w:val="22"/>
          <w:lang w:val="zh-CN"/>
        </w:rPr>
      </w:sdtEndPr>
      <w:sdtContent>
        <w:p>
          <w:pPr>
            <w:pStyle w:val="46"/>
            <w:jc w:val="center"/>
            <w:rPr>
              <w:rFonts w:ascii="仿宋_GB2312" w:eastAsia="仿宋_GB2312"/>
              <w:b/>
              <w:color w:val="auto"/>
              <w:sz w:val="36"/>
              <w:lang w:val="zh-CN"/>
            </w:rPr>
          </w:pPr>
          <w:r>
            <w:rPr>
              <w:rFonts w:hint="eastAsia" w:ascii="仿宋_GB2312" w:eastAsia="仿宋_GB2312"/>
              <w:b/>
              <w:color w:val="auto"/>
              <w:sz w:val="36"/>
              <w:lang w:val="zh-CN"/>
            </w:rPr>
            <w:t>目  录</w:t>
          </w:r>
        </w:p>
        <w:p>
          <w:pPr>
            <w:rPr>
              <w:lang w:val="zh-CN"/>
            </w:rPr>
          </w:pPr>
        </w:p>
        <w:p>
          <w:pPr>
            <w:pStyle w:val="15"/>
            <w:tabs>
              <w:tab w:val="right" w:leader="dot" w:pos="8296"/>
            </w:tabs>
            <w:spacing w:line="480" w:lineRule="auto"/>
            <w:rPr>
              <w:rFonts w:ascii="仿宋_GB2312" w:eastAsia="仿宋_GB2312" w:hAnsiTheme="minorHAnsi"/>
              <w:b/>
              <w:kern w:val="2"/>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TOC \o "1-3" \h \z \u </w:instrText>
          </w:r>
          <w:r>
            <w:rPr>
              <w:rFonts w:hint="eastAsia" w:ascii="仿宋_GB2312" w:eastAsia="仿宋_GB2312"/>
              <w:b/>
              <w:sz w:val="28"/>
              <w:szCs w:val="28"/>
            </w:rPr>
            <w:fldChar w:fldCharType="separate"/>
          </w:r>
          <w:r>
            <w:fldChar w:fldCharType="begin"/>
          </w:r>
          <w:r>
            <w:instrText xml:space="preserve"> HYPERLINK \l "_Toc96874880" </w:instrText>
          </w:r>
          <w:r>
            <w:fldChar w:fldCharType="separate"/>
          </w:r>
          <w:r>
            <w:rPr>
              <w:rStyle w:val="26"/>
              <w:rFonts w:hint="eastAsia" w:ascii="仿宋_GB2312" w:hAnsi="方正小标宋简体" w:eastAsia="仿宋_GB2312" w:cs="方正小标宋简体"/>
              <w:b/>
              <w:bCs/>
              <w:kern w:val="44"/>
              <w:sz w:val="28"/>
              <w:szCs w:val="28"/>
            </w:rPr>
            <w:t>第一章  比选公告</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_Toc96874880 \h </w:instrText>
          </w:r>
          <w:r>
            <w:rPr>
              <w:rFonts w:hint="eastAsia" w:ascii="仿宋_GB2312" w:eastAsia="仿宋_GB2312"/>
              <w:b/>
              <w:sz w:val="28"/>
              <w:szCs w:val="28"/>
            </w:rPr>
            <w:fldChar w:fldCharType="separate"/>
          </w:r>
          <w:r>
            <w:rPr>
              <w:rFonts w:ascii="仿宋_GB2312" w:eastAsia="仿宋_GB2312"/>
              <w:b/>
              <w:sz w:val="28"/>
              <w:szCs w:val="28"/>
            </w:rPr>
            <w:t>1</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"_Toc96874881" </w:instrText>
          </w:r>
          <w:r>
            <w:fldChar w:fldCharType="separate"/>
          </w:r>
          <w:r>
            <w:rPr>
              <w:rStyle w:val="26"/>
              <w:rFonts w:hint="eastAsia" w:ascii="仿宋_GB2312" w:hAnsi="方正小标宋简体" w:eastAsia="仿宋_GB2312" w:cs="方正小标宋简体"/>
              <w:b/>
              <w:bCs/>
              <w:kern w:val="44"/>
              <w:sz w:val="28"/>
              <w:szCs w:val="28"/>
            </w:rPr>
            <w:t>第二章  比选申请人须知</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_Toc96874881 \h </w:instrText>
          </w:r>
          <w:r>
            <w:rPr>
              <w:rFonts w:hint="eastAsia" w:ascii="仿宋_GB2312" w:eastAsia="仿宋_GB2312"/>
              <w:b/>
              <w:sz w:val="28"/>
              <w:szCs w:val="28"/>
            </w:rPr>
            <w:fldChar w:fldCharType="separate"/>
          </w:r>
          <w:r>
            <w:rPr>
              <w:rFonts w:ascii="仿宋_GB2312" w:eastAsia="仿宋_GB2312"/>
              <w:b/>
              <w:sz w:val="28"/>
              <w:szCs w:val="28"/>
            </w:rPr>
            <w:t>6</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"_Toc96874882" </w:instrText>
          </w:r>
          <w:r>
            <w:fldChar w:fldCharType="separate"/>
          </w:r>
          <w:r>
            <w:rPr>
              <w:rStyle w:val="26"/>
              <w:rFonts w:hint="eastAsia" w:ascii="仿宋_GB2312" w:hAnsi="方正小标宋简体" w:eastAsia="仿宋_GB2312" w:cs="方正小标宋简体"/>
              <w:b/>
              <w:bCs/>
              <w:kern w:val="44"/>
              <w:sz w:val="28"/>
              <w:szCs w:val="28"/>
            </w:rPr>
            <w:t>第三章  比选人要求</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_Toc96874882 \h </w:instrText>
          </w:r>
          <w:r>
            <w:rPr>
              <w:rFonts w:hint="eastAsia" w:ascii="仿宋_GB2312" w:eastAsia="仿宋_GB2312"/>
              <w:b/>
              <w:sz w:val="28"/>
              <w:szCs w:val="28"/>
            </w:rPr>
            <w:fldChar w:fldCharType="separate"/>
          </w:r>
          <w:r>
            <w:rPr>
              <w:rFonts w:ascii="仿宋_GB2312" w:eastAsia="仿宋_GB2312"/>
              <w:b/>
              <w:sz w:val="28"/>
              <w:szCs w:val="28"/>
            </w:rPr>
            <w:t>10</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"_Toc96874918" </w:instrText>
          </w:r>
          <w:r>
            <w:fldChar w:fldCharType="separate"/>
          </w:r>
          <w:r>
            <w:rPr>
              <w:rStyle w:val="26"/>
              <w:rFonts w:hint="eastAsia" w:ascii="仿宋_GB2312" w:hAnsi="方正小标宋简体" w:eastAsia="仿宋_GB2312" w:cs="方正小标宋简体"/>
              <w:b/>
              <w:bCs/>
              <w:kern w:val="44"/>
              <w:sz w:val="28"/>
              <w:szCs w:val="28"/>
            </w:rPr>
            <w:t>第四章  评审办法</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_Toc96874918 \h </w:instrText>
          </w:r>
          <w:r>
            <w:rPr>
              <w:rFonts w:hint="eastAsia" w:ascii="仿宋_GB2312" w:eastAsia="仿宋_GB2312"/>
              <w:b/>
              <w:sz w:val="28"/>
              <w:szCs w:val="28"/>
            </w:rPr>
            <w:fldChar w:fldCharType="separate"/>
          </w:r>
          <w:r>
            <w:rPr>
              <w:rFonts w:ascii="仿宋_GB2312" w:eastAsia="仿宋_GB2312"/>
              <w:b/>
              <w:sz w:val="28"/>
              <w:szCs w:val="28"/>
            </w:rPr>
            <w:t>14</w:t>
          </w:r>
          <w:r>
            <w:rPr>
              <w:rFonts w:hint="eastAsia" w:ascii="仿宋_GB2312" w:eastAsia="仿宋_GB2312"/>
              <w:b/>
              <w:sz w:val="28"/>
              <w:szCs w:val="28"/>
            </w:rPr>
            <w:fldChar w:fldCharType="end"/>
          </w:r>
          <w:r>
            <w:rPr>
              <w:rFonts w:hint="eastAsia" w:ascii="仿宋_GB2312" w:eastAsia="仿宋_GB2312"/>
              <w:b/>
              <w:sz w:val="28"/>
              <w:szCs w:val="28"/>
            </w:rPr>
            <w:fldChar w:fldCharType="end"/>
          </w:r>
        </w:p>
        <w:p>
          <w:r>
            <w:rPr>
              <w:rFonts w:hint="eastAsia" w:ascii="仿宋_GB2312" w:eastAsia="仿宋_GB2312"/>
              <w:b/>
              <w:bCs/>
              <w:sz w:val="28"/>
              <w:szCs w:val="28"/>
              <w:lang w:val="zh-CN"/>
            </w:rPr>
            <w:fldChar w:fldCharType="end"/>
          </w:r>
        </w:p>
      </w:sdtContent>
    </w:sdt>
    <w:bookmarkEnd w:id="0"/>
    <w:p>
      <w:pPr>
        <w:adjustRightInd/>
        <w:snapToGrid/>
        <w:spacing w:after="0"/>
        <w:rPr>
          <w:rFonts w:ascii="方正小标宋简体" w:hAnsi="方正小标宋简体" w:eastAsia="方正小标宋简体" w:cs="方正小标宋简体"/>
          <w:sz w:val="32"/>
          <w:szCs w:val="32"/>
        </w:rPr>
        <w:sectPr>
          <w:pgSz w:w="11906" w:h="16838"/>
          <w:pgMar w:top="2098" w:right="1474" w:bottom="1984" w:left="1587" w:header="851" w:footer="992" w:gutter="0"/>
          <w:pgNumType w:start="1"/>
          <w:cols w:space="425" w:num="1"/>
          <w:titlePg/>
          <w:docGrid w:type="lines" w:linePitch="312" w:charSpace="0"/>
        </w:sectPr>
      </w:pPr>
    </w:p>
    <w:p>
      <w:pPr>
        <w:spacing w:after="0" w:line="500" w:lineRule="exact"/>
        <w:jc w:val="center"/>
        <w:outlineLvl w:val="0"/>
        <w:rPr>
          <w:rFonts w:ascii="方正小标宋简体" w:hAnsi="方正小标宋简体" w:eastAsia="方正小标宋简体" w:cs="方正小标宋简体"/>
          <w:bCs/>
          <w:kern w:val="44"/>
          <w:sz w:val="32"/>
          <w:szCs w:val="32"/>
        </w:rPr>
      </w:pPr>
      <w:bookmarkStart w:id="1" w:name="_Toc96874880"/>
      <w:r>
        <w:rPr>
          <w:rFonts w:hint="eastAsia" w:ascii="方正小标宋简体" w:hAnsi="方正小标宋简体" w:eastAsia="方正小标宋简体" w:cs="方正小标宋简体"/>
          <w:bCs/>
          <w:kern w:val="44"/>
          <w:sz w:val="44"/>
          <w:szCs w:val="44"/>
        </w:rPr>
        <w:t xml:space="preserve">第一章 </w:t>
      </w:r>
      <w:r>
        <w:rPr>
          <w:rFonts w:ascii="方正小标宋简体" w:hAnsi="方正小标宋简体" w:eastAsia="方正小标宋简体" w:cs="方正小标宋简体"/>
          <w:bCs/>
          <w:kern w:val="44"/>
          <w:sz w:val="44"/>
          <w:szCs w:val="44"/>
        </w:rPr>
        <w:t xml:space="preserve"> </w:t>
      </w:r>
      <w:r>
        <w:rPr>
          <w:rFonts w:hint="eastAsia" w:ascii="方正小标宋简体" w:hAnsi="方正小标宋简体" w:eastAsia="方正小标宋简体" w:cs="方正小标宋简体"/>
          <w:bCs/>
          <w:kern w:val="44"/>
          <w:sz w:val="44"/>
          <w:szCs w:val="44"/>
        </w:rPr>
        <w:t>比选公告</w:t>
      </w:r>
      <w:bookmarkEnd w:id="1"/>
    </w:p>
    <w:p>
      <w:pPr>
        <w:pStyle w:val="29"/>
      </w:pP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四川蜀道铁路运营管理集团有限责任公司（以下简称“蜀道铁路运营集团”或“公司”）拟选聘税务顾问服务，作为常年税务顾问服务，承担公司日常税务顾问服务工作。</w:t>
      </w:r>
      <w:bookmarkStart w:id="2" w:name="_Toc7177174"/>
      <w:r>
        <w:rPr>
          <w:rFonts w:hint="eastAsia" w:ascii="仿宋_GB2312" w:hAnsi="仿宋_GB2312" w:eastAsia="仿宋_GB2312" w:cs="仿宋_GB2312"/>
          <w:sz w:val="32"/>
          <w:szCs w:val="32"/>
        </w:rPr>
        <w:t>依据《四川省国资委及所出资企业中介机构选聘管理试行办法》（川国资委办[2019]9号）规定，由蜀道铁路运营集团作为比选人，采取公开比选方式面向社会选择法律服务机构。</w:t>
      </w:r>
    </w:p>
    <w:bookmarkEnd w:id="2"/>
    <w:p>
      <w:pPr>
        <w:numPr>
          <w:ilvl w:val="0"/>
          <w:numId w:val="1"/>
        </w:numPr>
        <w:spacing w:after="0" w:line="500" w:lineRule="exact"/>
        <w:ind w:firstLine="640" w:firstLineChars="200"/>
        <w:rPr>
          <w:rFonts w:ascii="黑体" w:hAnsi="黑体" w:eastAsia="黑体" w:cs="黑体"/>
          <w:sz w:val="32"/>
          <w:szCs w:val="32"/>
        </w:rPr>
      </w:pPr>
      <w:bookmarkStart w:id="3" w:name="_Toc7177175"/>
      <w:r>
        <w:rPr>
          <w:rFonts w:hint="eastAsia" w:ascii="黑体" w:hAnsi="黑体" w:eastAsia="黑体" w:cs="黑体"/>
          <w:sz w:val="32"/>
          <w:szCs w:val="32"/>
        </w:rPr>
        <w:t>公司简介及项目概况</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川蜀道铁路运营管理集团有限责任公司（以下简称“蜀道铁路运营集团”或“公司”），是蜀道投资集团有限责任公司的全资直属子企业，以专业化整合方式组建，于2021年12月29日揭牌成立，注册资本10亿元。蜀道铁路运营集团作为四川省唯一地方铁路特许经营企业，致力于打造蜀道铁路运营管理专业化平台，充分发挥合资铁路平台优势，积极布局铁路物流、沿线资源开发等多元经营产业，深挖产业链价值，打造新的利润增长极，有效支撑蜀道集团铁路产业高质量发展。</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为提高公司依法治企的能力，并在日常法律事务、重大投融资等领域发挥法律的护航作用，预防法律风险，蜀道铁路运营集团决定通过公开比选的方式，择优选择2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年度常年税务顾问咨询单位1家。</w:t>
      </w:r>
    </w:p>
    <w:bookmarkEnd w:id="3"/>
    <w:p>
      <w:pPr>
        <w:numPr>
          <w:ilvl w:val="0"/>
          <w:numId w:val="1"/>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比选范围及期限</w:t>
      </w:r>
    </w:p>
    <w:p>
      <w:pPr>
        <w:spacing w:after="0" w:line="5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（一）比选范围</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四川蜀道铁路运营管理集团有限责任公司2022年税务顾问服务项目（项目名称）的工作服务范围包括:</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1.为甲方蜀道铁路运营集团本部及所属公司提供税收管理理念、思路和方法的支持；</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2.协助甲方蜀道铁路运营集团本部及所属公司财务做好税收风险管理，提升应对能力。乙方每季度派人到现场进行税收检查并出具报告；</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3.协助甲方蜀道铁路运营集团本部及所属公司正确运用国家产业政策和财税政策，维护好税收合法权益。</w:t>
      </w:r>
    </w:p>
    <w:p>
      <w:pPr>
        <w:spacing w:after="0" w:line="5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（二）服务期限</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自合同签订之日起算，合同期限为一年。</w:t>
      </w:r>
    </w:p>
    <w:p>
      <w:pPr>
        <w:spacing w:after="0" w:line="5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（三）服务方式</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服务单位须按照服务内容工作要求，为公司选派熟悉业务，并具有丰富经验的专业团队提供税务顾问服务。</w:t>
      </w:r>
    </w:p>
    <w:p>
      <w:pPr>
        <w:numPr>
          <w:ilvl w:val="0"/>
          <w:numId w:val="1"/>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资格要求</w:t>
      </w:r>
    </w:p>
    <w:p>
      <w:pPr>
        <w:spacing w:after="0" w:line="5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（一）税务师事务所</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1.具有承担民事责任的能力，持有合法有效营业执照及国家法律法规要求的税务师事务所等级证书A级（或以上）、税务师事务所行政登记证书。参选税务师事务所应充分理解并响应比选人对服务工作时效性要求。</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资料要求：税务师事务所行政登记证书、税务师事务所等级证书。</w:t>
      </w:r>
    </w:p>
    <w:p>
      <w:pPr>
        <w:spacing w:after="0" w:line="570" w:lineRule="exact"/>
        <w:ind w:firstLine="640" w:firstLineChars="200"/>
        <w:jc w:val="both"/>
        <w:rPr>
          <w:rFonts w:ascii="仿宋_GB2312" w:hAnsi="仿宋_GB2312" w:eastAsia="仿宋_GB2312" w:cs="仿宋_GB2312"/>
          <w:sz w:val="32"/>
          <w:szCs w:val="32"/>
        </w:rPr>
      </w:pP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近三年以来，未受过行政处罚、行业惩戒或有效投诉，不存在下列情形之一：弄虚作假、恶意串通、营私舞弊等严重不诚信行为的；分别接受利益相对方委托，就同一事项提供有利益冲突的中介服务的；出具虚假或重大失实的业务报告的；违反中介服务合同约定给委托方造成重大损失的。</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资料要求：税务师事务所承诺函。 </w:t>
      </w:r>
    </w:p>
    <w:p>
      <w:pPr>
        <w:spacing w:after="0" w:line="5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（二）服务团队</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1.遵守宪法和法律，具有良好的职业品德、纪律意识，选派的项目负责人须具有有效的注册税务师执业资格证书。</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资料要求：注册税务师执业资格证书。</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2.项目负责人须具有5年及以上职业年限。</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资料要求：注册税务师执业资格证书。</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3.2018年1月1日至今至少完成过2个税务咨询项目；</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资料要求：业绩应附体现上述要求的合同复印件并加盖公章。</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4.本次比选不接受联合体申请。</w:t>
      </w:r>
    </w:p>
    <w:p>
      <w:pPr>
        <w:numPr>
          <w:ilvl w:val="0"/>
          <w:numId w:val="1"/>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比选文件的获取</w:t>
      </w:r>
    </w:p>
    <w:p>
      <w:pPr>
        <w:spacing w:after="0" w:line="50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（一）凡有意参加比选的比选申请人，请于2022年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日至2022年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日（上午9:00--12:00，下午14:00--17:30），由经办人按相关防疫要求，携带</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1 \* GB3</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授权书或单位介绍信原件、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2 \* GB3</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经办人身份证原件及复印件、③比选申请人营业执照复印件（所有复印件均加盖单位鲜章）到成都市高新区天府一街535号两江国际A座41层免费领取比选文件。报名领取比选文件后，不能转让比选资格</w:t>
      </w:r>
      <w:r>
        <w:rPr>
          <w:rFonts w:hint="eastAsia" w:ascii="仿宋_GB2312" w:hAnsi="仿宋_GB2312" w:eastAsia="仿宋_GB2312" w:cs="仿宋_GB2312"/>
          <w:sz w:val="28"/>
          <w:szCs w:val="28"/>
        </w:rPr>
        <w:t>。</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（二）比选文件有关通知（若有）由比选申请人在</w:t>
      </w:r>
      <w:r>
        <w:fldChar w:fldCharType="begin"/>
      </w:r>
      <w:r>
        <w:instrText xml:space="preserve"> HYPERLINK "https://www.sdtlyyjt.com/" </w:instrText>
      </w:r>
      <w:r>
        <w:fldChar w:fldCharType="separate"/>
      </w:r>
      <w:r>
        <w:rPr>
          <w:rFonts w:hint="eastAsia" w:ascii="仿宋_GB2312" w:hAnsi="仿宋_GB2312" w:eastAsia="仿宋_GB2312" w:cs="仿宋_GB2312"/>
          <w:sz w:val="32"/>
          <w:szCs w:val="32"/>
        </w:rPr>
        <w:t>四川蜀道铁路运营管理集团有限责任公司（</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https://www.sdtlyyjt.com)自行查阅与下载。</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（三）比选申请人应在报价期间适时关注上述网站，并及时下载比选相关内容，比选人不再另行通知。如有问题或疑问，应及时与比选人联系，因未能及时下载通知书（如有）的相关责任由比选申请人自行承担。</w:t>
      </w:r>
    </w:p>
    <w:p>
      <w:pPr>
        <w:spacing w:after="0" w:line="50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（四）若因疫情等其他政策原因，造成比选不能开展、延期开展或者采用其他线上方式开展，公司将及时在官网公布，并不承担任何责任。</w:t>
      </w:r>
    </w:p>
    <w:p>
      <w:pPr>
        <w:numPr>
          <w:ilvl w:val="0"/>
          <w:numId w:val="1"/>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比选文件答疑</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（一）比选疑问提交方式：比选申请人以书面方式提交需要澄清的问题（须盖比选申请人公章）。</w:t>
      </w:r>
    </w:p>
    <w:p>
      <w:pPr>
        <w:spacing w:after="0" w:line="500" w:lineRule="exact"/>
        <w:ind w:firstLine="640" w:firstLineChars="200"/>
        <w:jc w:val="both"/>
        <w:rPr>
          <w:rFonts w:ascii="仿宋_GB2312" w:hAnsi="仿宋_GB2312" w:eastAsia="仿宋_GB2312" w:cs="仿宋_GB2312"/>
          <w:sz w:val="28"/>
          <w:szCs w:val="24"/>
        </w:rPr>
      </w:pPr>
      <w:r>
        <w:rPr>
          <w:rFonts w:hint="eastAsia" w:ascii="仿宋_GB2312" w:hAnsi="仿宋_GB2312" w:eastAsia="仿宋_GB2312" w:cs="仿宋_GB2312"/>
          <w:sz w:val="32"/>
          <w:szCs w:val="32"/>
        </w:rPr>
        <w:t>（二）比选人在比选疑问提交截止时间后1日内予以答疑，本项目比选疑问提交截止时间为2022年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日17时00分（北京时间）。</w:t>
      </w:r>
    </w:p>
    <w:p>
      <w:pPr>
        <w:numPr>
          <w:ilvl w:val="0"/>
          <w:numId w:val="1"/>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比选申请文件的递交</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（一）比选申请文件递交及截止时间：递交时间为2022年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日上午9:30--10:00时（北京时间），截止时间为2022年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日上午10:00时（北京时间）。</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（二）比选文件递交地点：成都市高新区天府一街535号两江国际A座41层本项目开标室。</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（三）逾期送达的比选申请文件，比选人不予受理。</w:t>
      </w:r>
    </w:p>
    <w:p>
      <w:pPr>
        <w:spacing w:after="0" w:line="500" w:lineRule="exact"/>
        <w:ind w:firstLine="480" w:firstLineChars="15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（四）比选申请文件概不退还。</w:t>
      </w:r>
    </w:p>
    <w:p>
      <w:pPr>
        <w:numPr>
          <w:ilvl w:val="0"/>
          <w:numId w:val="1"/>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联系方式</w:t>
      </w:r>
    </w:p>
    <w:p>
      <w:pPr>
        <w:spacing w:after="0" w:line="500" w:lineRule="exact"/>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比 选 人：四川蜀道铁路运营管理集团有限责任公司</w:t>
      </w:r>
    </w:p>
    <w:p>
      <w:pPr>
        <w:spacing w:after="0" w:line="500" w:lineRule="exact"/>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地    址：成都市高新区天府一街535号两江国际A座41层</w:t>
      </w:r>
    </w:p>
    <w:p>
      <w:pPr>
        <w:spacing w:after="0" w:line="500" w:lineRule="exact"/>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邮    编：610094</w:t>
      </w:r>
    </w:p>
    <w:p>
      <w:pPr>
        <w:spacing w:after="0" w:line="500" w:lineRule="exact"/>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人：田女士</w:t>
      </w:r>
    </w:p>
    <w:p>
      <w:pPr>
        <w:spacing w:after="0" w:line="500" w:lineRule="exact"/>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话：18581881333   </w:t>
      </w:r>
    </w:p>
    <w:p>
      <w:pPr>
        <w:pStyle w:val="29"/>
      </w:pPr>
    </w:p>
    <w:p/>
    <w:p>
      <w:pPr>
        <w:spacing w:after="0" w:line="500" w:lineRule="exact"/>
        <w:ind w:firstLine="420" w:firstLineChars="150"/>
        <w:jc w:val="both"/>
        <w:rPr>
          <w:rFonts w:ascii="仿宋_GB2312" w:hAnsi="仿宋_GB2312" w:eastAsia="仿宋_GB2312" w:cs="仿宋_GB2312"/>
          <w:sz w:val="32"/>
          <w:szCs w:val="32"/>
        </w:rPr>
      </w:pPr>
      <w:r>
        <w:rPr>
          <w:rFonts w:ascii="仿宋_GB2312" w:hAnsi="仿宋_GB2312" w:eastAsia="仿宋_GB2312" w:cs="仿宋_GB2312"/>
          <w:sz w:val="28"/>
          <w:szCs w:val="24"/>
        </w:rPr>
        <w:t xml:space="preserve">              </w:t>
      </w: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bookmarkStart w:id="4" w:name="_Toc30893_WPSOffice_Level1"/>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日 </w:t>
      </w:r>
    </w:p>
    <w:p>
      <w:pPr>
        <w:spacing w:after="0" w:line="500" w:lineRule="exact"/>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bookmarkEnd w:id="4"/>
    <w:p>
      <w:pPr>
        <w:spacing w:after="0" w:line="500" w:lineRule="exact"/>
        <w:jc w:val="center"/>
        <w:outlineLvl w:val="0"/>
        <w:rPr>
          <w:rFonts w:ascii="方正小标宋简体" w:hAnsi="方正小标宋简体" w:eastAsia="方正小标宋简体" w:cs="方正小标宋简体"/>
          <w:bCs/>
          <w:kern w:val="44"/>
          <w:sz w:val="44"/>
          <w:szCs w:val="44"/>
        </w:rPr>
      </w:pPr>
      <w:bookmarkStart w:id="5" w:name="_Toc96874881"/>
      <w:r>
        <w:rPr>
          <w:rFonts w:hint="eastAsia" w:ascii="方正小标宋简体" w:hAnsi="方正小标宋简体" w:eastAsia="方正小标宋简体" w:cs="方正小标宋简体"/>
          <w:bCs/>
          <w:kern w:val="44"/>
          <w:sz w:val="44"/>
          <w:szCs w:val="44"/>
        </w:rPr>
        <w:t>第二章  比选申请人须知</w:t>
      </w:r>
      <w:bookmarkEnd w:id="5"/>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项目名称</w:t>
      </w:r>
    </w:p>
    <w:p>
      <w:pPr>
        <w:spacing w:after="0" w:line="500" w:lineRule="exact"/>
        <w:ind w:firstLine="640" w:firstLineChars="200"/>
        <w:jc w:val="both"/>
        <w:rPr>
          <w:rFonts w:ascii="仿宋_GB2312" w:hAnsi="仿宋_GB2312" w:eastAsia="仿宋_GB2312" w:cs="仿宋_GB2312"/>
          <w:sz w:val="28"/>
        </w:rPr>
      </w:pPr>
      <w:r>
        <w:rPr>
          <w:rFonts w:hint="eastAsia" w:ascii="仿宋_GB2312" w:hAnsi="仿宋_GB2312" w:eastAsia="仿宋_GB2312" w:cs="仿宋_GB2312"/>
          <w:sz w:val="32"/>
          <w:szCs w:val="32"/>
        </w:rPr>
        <w:t>四川蜀道铁路运营管理集团有限责任公司2022年常年税务顾问服务项目</w:t>
      </w:r>
      <w:r>
        <w:rPr>
          <w:rFonts w:hint="eastAsia" w:ascii="仿宋_GB2312" w:hAnsi="仿宋_GB2312" w:eastAsia="仿宋_GB2312" w:cs="仿宋_GB2312"/>
          <w:sz w:val="28"/>
        </w:rPr>
        <w:t>。</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税务顾问的资格要求</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最低资格要求详见第一章比选公告中的相关要求。最低资格以下的是不符合条件的申请人，比选人不予接受。如比选申请人实际上并未达到最低要求，因提供虚假资料而致使参加比选而中选，中选自始无效。</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业绩要求详见第一章比选公告中的税务师事务所及服务团队资格要求。</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最高限价</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（一）本项目最高限价为年服务费用（含税）17万元（大写：人民币壹拾柒万元）。</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（二）比选申请人的报价应包括中选后需完成合同规定所有工作内容需承担的服务费用、税金等一切费用与利润，并考虑应承担的风险和责任，包干使用。</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比选费用</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申请人在比选过程中的一切费用，不论中选与否，均由申请人自行承担。</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比选有效期</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比选有效期为提交比选申请文件的截止日起60日内。</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比选申请文件装订要求</w:t>
      </w:r>
    </w:p>
    <w:p>
      <w:pPr>
        <w:spacing w:after="0" w:line="500" w:lineRule="exact"/>
        <w:ind w:firstLine="640" w:firstLineChars="200"/>
        <w:jc w:val="both"/>
      </w:pPr>
      <w:r>
        <w:rPr>
          <w:rFonts w:hint="eastAsia" w:ascii="仿宋_GB2312" w:hAnsi="仿宋_GB2312" w:eastAsia="仿宋_GB2312" w:cs="仿宋_GB2312"/>
          <w:sz w:val="32"/>
          <w:szCs w:val="32"/>
        </w:rPr>
        <w:t>（一）所有参加比选的比选申请人应按第三章比选申请文件的格式中的要求提交比选申请文件，比选申请文件应用简体中文写成，比选申请文件除签名外，全部用不褪色的墨水（粉）打印。比选申请文件正本一份，副本两份，比选申请文件的正、副本一起封装在封套里，封套应加贴封条，并在封套的封口处加盖单位公章或密封章或法定代表人（或授权代理人）的亲笔签字。比选申请文件的封套上应注明申请项目名称和比选申请人名称并加盖公章。</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（二）未按要求密封、标记和投递的比选申请文件，比选人有权拒收。</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比选申请文件的正本与副本（副本可以是正本的复印件或影印件）应采用粘贴或装订方式分别装订成册，不得采用活页夹等可随时拆换的方式装订，同时比选申请文件应逐页连续编码，否则，比选人将对比选申请文件页数的丢失、散落或其他后果不承担任何责任。</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（四）除比选申请人对错误处必须修改外，全套比选申请文件应无涂改或行间插字和增删。如有修改，修改处应由比选申请文件签字人签字或加盖比选申请人公章。</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比选申请文件的内容</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（一）比选申请函</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（二）法定代表人（负责人）身份证明</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（三）授权委托书（如有）</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（四）税务师事务所介绍</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（五）拟配备服务团队</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（六）拟配备服务团队常年税务顾问业绩</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（七）信誉承诺函</w:t>
      </w:r>
    </w:p>
    <w:p>
      <w:pPr>
        <w:spacing w:after="0" w:line="50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（八）服务方案</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（九）其他资料（如有）</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比选申请文件的开启</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递交比选申请文件截止时间准时开标，比选人邀请比选申请人参加开标。比选申请文件递交截止时间后，如果比选申请人未达到三家的比选要求，将不开启比选申请文件并将再次发布比选公告。</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比选评标办法</w:t>
      </w:r>
    </w:p>
    <w:p>
      <w:pPr>
        <w:spacing w:after="0" w:line="500" w:lineRule="exact"/>
        <w:ind w:firstLine="640" w:firstLineChars="200"/>
        <w:jc w:val="both"/>
        <w:rPr>
          <w:rFonts w:ascii="仿宋_GB2312" w:hAnsi="仿宋_GB2312" w:eastAsia="仿宋_GB2312" w:cs="仿宋_GB2312"/>
          <w:sz w:val="28"/>
        </w:rPr>
      </w:pPr>
      <w:r>
        <w:rPr>
          <w:rFonts w:hint="eastAsia" w:ascii="仿宋_GB2312" w:hAnsi="仿宋_GB2312" w:eastAsia="仿宋_GB2312" w:cs="仿宋_GB2312"/>
          <w:sz w:val="32"/>
          <w:szCs w:val="32"/>
        </w:rPr>
        <w:t>本次比选采用综合评分法。</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评审程序</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（一）评审委员会集中审查比选申请文件，按第四章评审办法进行评审，对不符合第一章比选公告中最低资格要求的比选申请人作否决处理，对符合比选资格要求的比选申请人按照比选文件的要求进行打分。</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（二）中选原则：根据《评分细则》逐项打分，评审委员会推荐得分靠前的1-3名中选候选人报比选人，最终中选人由比选人根据评审报告确定。</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（二）对比选文件的内容理解有争议的，由比选人按照比选文件所使用的词句、比选文件的有关条款、比选的目的、习惯以及诚实信用原则，确定该条款的真实意思，有两种以上解释的，解释权归评审委员会。</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比选结果公示及通知</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比选人将中选候选人名单在</w:t>
      </w:r>
      <w:r>
        <w:fldChar w:fldCharType="begin"/>
      </w:r>
      <w:r>
        <w:instrText xml:space="preserve"> HYPERLINK "https://www.sdtlyyjt.com/" </w:instrText>
      </w:r>
      <w:r>
        <w:fldChar w:fldCharType="separate"/>
      </w:r>
      <w:r>
        <w:rPr>
          <w:rFonts w:hint="eastAsia" w:ascii="仿宋_GB2312" w:hAnsi="仿宋_GB2312" w:eastAsia="仿宋_GB2312" w:cs="仿宋_GB2312"/>
          <w:sz w:val="32"/>
          <w:szCs w:val="32"/>
        </w:rPr>
        <w:t>四川蜀道铁路运营管理集团有限责任公司（</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https://www.sdtlyyjt.com)公示3日。公示结束且未收到任何质疑或投诉意见，比选人以书面形式向中选人发出中选通知书。</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合同签订</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中选通知书发出后，比选人与中选人签订相关合同。</w:t>
      </w:r>
    </w:p>
    <w:p>
      <w:pPr>
        <w:numPr>
          <w:ilvl w:val="0"/>
          <w:numId w:val="2"/>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补充说明</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（一）本比选文件中约定的“以上”、“至少”、“不少于”包括本数，“以下”不包括本数。</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（二）比选人因疫情防控等其他政策原因，造成本次比选活动暂停、延后或终止的，比选申请人应充分理解并支持防疫工作开展，比选人不承担由此造成的损失。</w:t>
      </w:r>
    </w:p>
    <w:p>
      <w:pPr>
        <w:spacing w:after="0" w:line="500" w:lineRule="exact"/>
        <w:ind w:firstLine="640" w:firstLineChars="200"/>
        <w:jc w:val="both"/>
        <w:rPr>
          <w:rFonts w:ascii="仿宋_GB2312" w:hAnsi="仿宋_GB2312" w:eastAsia="仿宋_GB2312" w:cs="仿宋_GB2312"/>
          <w:sz w:val="28"/>
        </w:rPr>
      </w:pPr>
      <w:r>
        <w:rPr>
          <w:rFonts w:hint="eastAsia" w:ascii="仿宋_GB2312" w:hAnsi="仿宋_GB2312" w:eastAsia="仿宋_GB2312" w:cs="仿宋_GB2312"/>
          <w:sz w:val="32"/>
          <w:szCs w:val="32"/>
        </w:rPr>
        <w:t>（三）比选申请人应提前知晓并配合参加本次比选活动（领取比选文件、递交比选申请文件等）所涉及的疫情防控要求，一切责任由比选申请人负责。</w:t>
      </w:r>
      <w:r>
        <w:rPr>
          <w:rFonts w:ascii="方正小标宋简体" w:hAnsi="方正小标宋简体" w:eastAsia="方正小标宋简体" w:cs="方正小标宋简体"/>
          <w:sz w:val="36"/>
          <w:szCs w:val="36"/>
        </w:rPr>
        <w:br w:type="page"/>
      </w:r>
    </w:p>
    <w:p>
      <w:pPr>
        <w:spacing w:after="0" w:line="500" w:lineRule="exact"/>
        <w:jc w:val="center"/>
        <w:outlineLvl w:val="0"/>
        <w:rPr>
          <w:rFonts w:ascii="方正小标宋简体" w:hAnsi="方正小标宋简体" w:eastAsia="方正小标宋简体" w:cs="方正小标宋简体"/>
          <w:bCs/>
          <w:kern w:val="44"/>
          <w:sz w:val="44"/>
          <w:szCs w:val="44"/>
        </w:rPr>
      </w:pPr>
      <w:bookmarkStart w:id="6" w:name="_Toc96874882"/>
      <w:r>
        <w:rPr>
          <w:rFonts w:hint="eastAsia" w:ascii="方正小标宋简体" w:hAnsi="方正小标宋简体" w:eastAsia="方正小标宋简体" w:cs="方正小标宋简体"/>
          <w:bCs/>
          <w:kern w:val="44"/>
          <w:sz w:val="44"/>
          <w:szCs w:val="44"/>
        </w:rPr>
        <w:t>第三章  比选人要求</w:t>
      </w:r>
      <w:bookmarkEnd w:id="6"/>
    </w:p>
    <w:p>
      <w:pPr>
        <w:numPr>
          <w:ilvl w:val="0"/>
          <w:numId w:val="3"/>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公司简介</w:t>
      </w:r>
    </w:p>
    <w:p>
      <w:pPr>
        <w:spacing w:after="0" w:line="500" w:lineRule="exact"/>
        <w:ind w:firstLine="640" w:firstLineChars="200"/>
        <w:jc w:val="both"/>
      </w:pPr>
      <w:r>
        <w:rPr>
          <w:rFonts w:hint="eastAsia" w:ascii="仿宋_GB2312" w:hAnsi="仿宋_GB2312" w:eastAsia="仿宋_GB2312" w:cs="仿宋_GB2312"/>
          <w:sz w:val="32"/>
          <w:szCs w:val="32"/>
        </w:rPr>
        <w:t>四川蜀道铁路运营管理集团有限责任公司（以下简称“蜀道铁路运营集团”或“公司”），是蜀道投资集团有限责任公司的全资直属子企业，以专业化整合方式组建，于2021年12月29日揭牌成立，注册资本10亿元。蜀道铁路运营集团作为四川省唯一地方铁路特许经营企业，致力于打造蜀道铁路运营管理专业化平台，充分发挥合资铁路平台优势，积极布局铁路物流、沿线资源开发等多元经营产业，深挖产业链价值，打造新的利润增长极，有效支撑蜀道集团铁路产业高质量发展。</w:t>
      </w:r>
    </w:p>
    <w:p>
      <w:pPr>
        <w:numPr>
          <w:ilvl w:val="0"/>
          <w:numId w:val="3"/>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服务范围</w:t>
      </w:r>
    </w:p>
    <w:p>
      <w:pPr>
        <w:spacing w:after="0" w:line="5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蜀道铁路运营集团本部及所属公司</w:t>
      </w:r>
      <w:r>
        <w:rPr>
          <w:rFonts w:hint="eastAsia" w:ascii="仿宋_GB2312" w:hAnsi="仿宋_GB2312" w:eastAsia="仿宋_GB2312" w:cs="仿宋_GB2312"/>
          <w:sz w:val="32"/>
          <w:szCs w:val="32"/>
          <w:lang w:eastAsia="zh-CN"/>
        </w:rPr>
        <w:t>。</w:t>
      </w:r>
    </w:p>
    <w:p>
      <w:pPr>
        <w:numPr>
          <w:ilvl w:val="0"/>
          <w:numId w:val="3"/>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服务内容</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为公司重大事项提供税务筹划并参与过程管理</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根据甲方要求，有前瞻性的对各重要经济事项（项目）的经营模式、业务流程、管理内容等进行设计安排，规避税务风险，合法降低综合税负。包括但不限于以下方面：</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1.针对甲方综合开发顶层需求，设计方案并辅导落地实施，乙方会随时接受咨询并在三天内进行邮件、书面回复。</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2.针对甲方股权收构、资产收购、吸收合并、增资扩股等业务进行税收整体筹划，针对具体案例具体分析原则提供咨询，确保三天内进行回复。</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3.针对甲方组织架构以及平台公司的增设和甲方战略发展进行税收筹划。根据甲方实际发展情况，定期对甲方的组织构架进行检查，对存在的不合理或需要改进的地方及时向甲方提出，并出具报告。</w:t>
      </w:r>
    </w:p>
    <w:p>
      <w:pPr>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4.根据甲方实际经营情况，合理筹划甲方的资金流，以获得资金的最大利用价值。</w:t>
      </w:r>
    </w:p>
    <w:p>
      <w:pPr>
        <w:pStyle w:val="2"/>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5.为甲方个人所得税的筹划及建议方案。</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参与重要经济合同涉税评审及检查</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根据甲方需求，针对甲方后期签定的重大合同进行财务税收审核，对超过100万以上的合同进行财税合同评审并出具税务意见（同类别的只审核其中一个合同），从源头规避税务风险，合法降低税负以确保决策中税务事项的科学性。</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2.随时接受财务对个别合同的咨询。</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3.加强对甲方签署合同的审查，对重大合同（超过100万的合同）抽查率达到50%及以上，小额合同抽查率达到10%。</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4.针对甲方前期已发生的各项重大经济合同（超过100万的合同）进行税务审核，并出具意见、建议报告。</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5.乙方每季度派人到现场进行税收检查并出具报告。</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日常财税答疑及提供解决办法</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乙方将根据甲方的业务发展需求，每季度走访并记录随访录，提供税收法律、法规和政策方面的咨询，纳税申报操作环节、会计处理及具体方法的咨询；同时对提出的税收政策方面的疑难问题进行解答。</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乙方接受委托后，将根据甲方经营业务性质，分析各税种可能存在的风险，重点解决存在的涉税事项，做好行业疑难问题解答，为企业相关税收优惠政策享用提供充分的法律法规依据，同时在征收管理环节为企业提供最准确的专业知识。</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日常涉税解答对象包含甲方相关财务人员以及部分业务人员。通过电话、QQ、邮件等形式解答甲方相关人员日常工作中遇到的财税问题。甲方相关人员可随时向我方电话咨询有关涉税问题，对于特殊情况也可到甲方指定的地点提供服务。</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新政策解读与分享</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随时向甲方传递各级财税部门出台的最新政策以及专家团队的解读，对特定政策文件进行解释。根据甲方经营范围，分析年度经济收入类型、性质，运用增值税、所得税等税收优惠政策，为甲方提供比较精准的税收优惠政策建议。</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纳税遵从日常健康体检及特别事项专门检查</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1.协助甲方开展税收专项自查工作，并对税务自查评估过程中发现的问题提供解决方案，确保甲方的税务操作合规合法，最大限度的规避税务风险。</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对会计核算方式、财务处理提供咨询服务。每次对甲方财务凭证进行不少于50%的抽查，根据企业会计准则以及税收相关规定，对甲方财务凭证以及税收账务处理存在的问题及时提出整改建议，并指导甲方进行改进，对改进效果予以跟踪，形成闭环监控管理，从而逐步规范相关财税工作。</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协助甲方与税务部门的交流、沟通</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针对甲方遇到的疑难问题，如增值税纳税义务时间、统借统还等问题，利用乙方良好的沟通渠道，争取取得更有利于甲方的政策支持，以达到及时准确纳税之目的，规避涉税风险。</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协助甲方与政府相关部门的交流、沟通</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根据甲方的经营规模与业绩，协助甲方与政府相关部门沟通交流，及时全方位享受到政府给予企业的各种奖励和政策支持。</w:t>
      </w:r>
    </w:p>
    <w:p>
      <w:pPr>
        <w:pStyle w:val="50"/>
        <w:numPr>
          <w:ilvl w:val="0"/>
          <w:numId w:val="4"/>
        </w:numPr>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所得税汇算清缴</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审核甲方的会计凭证、会计账务、审计报告、重要合同等全部纳税申报资料，依据企业所得税法相关规定，对甲方年度企业所得税汇算清缴出具审核报告，协助铁路物流公司和合资铁路成自公司企业所得税汇算清缴。</w:t>
      </w:r>
    </w:p>
    <w:p>
      <w:pPr>
        <w:numPr>
          <w:ilvl w:val="0"/>
          <w:numId w:val="3"/>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服务期限</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自合同签订之日起算，合同期限为一年。</w:t>
      </w:r>
    </w:p>
    <w:p>
      <w:pPr>
        <w:numPr>
          <w:ilvl w:val="0"/>
          <w:numId w:val="3"/>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服务方式</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税务顾问单位须按照服务内容工作要求，为公司选派熟悉业务，并具有丰富经验的专业税务团队提供税务顾问服务。</w:t>
      </w:r>
    </w:p>
    <w:p>
      <w:pPr>
        <w:numPr>
          <w:ilvl w:val="0"/>
          <w:numId w:val="3"/>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服务要求</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1.比选人重大商务谈判、协商，需税务顾问团队集中工作较长时间或出差时，由比选人提前与本项目负责人联系；由本项目负责人根据比选人的需要做出相应安排。</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2.根据比选人的委托或授权，比选申请人通过调查研究、参加有关会议、参与商务谈判、个别咨询、委托代办等形式开展税务顾问工作。</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3.根据工作需要可随时通知拟派税务顾问服务团队人员提供现场或远程服务。</w:t>
      </w:r>
    </w:p>
    <w:p>
      <w:pPr>
        <w:spacing w:after="0" w:line="500" w:lineRule="exact"/>
        <w:ind w:firstLine="720" w:firstLineChars="20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p>
    <w:p>
      <w:pPr>
        <w:jc w:val="center"/>
        <w:rPr>
          <w:rFonts w:hint="eastAsia" w:ascii="仿宋_GB2312" w:hAnsi="仿宋_GB2312" w:eastAsia="仿宋_GB2312" w:cs="仿宋_GB2312"/>
          <w:sz w:val="28"/>
          <w:szCs w:val="28"/>
        </w:rPr>
      </w:pPr>
    </w:p>
    <w:p>
      <w:pPr>
        <w:spacing w:after="0" w:line="560" w:lineRule="exact"/>
        <w:ind w:firstLine="880" w:firstLineChars="200"/>
        <w:jc w:val="center"/>
        <w:rPr>
          <w:rFonts w:ascii="方正小标宋简体" w:hAnsi="方正小标宋简体" w:eastAsia="方正小标宋简体" w:cs="方正小标宋简体"/>
          <w:bCs/>
          <w:kern w:val="44"/>
          <w:sz w:val="44"/>
          <w:szCs w:val="44"/>
        </w:rPr>
      </w:pPr>
      <w:bookmarkStart w:id="7" w:name="_Toc96874918"/>
      <w:r>
        <w:rPr>
          <w:rFonts w:hint="eastAsia" w:ascii="方正小标宋简体" w:hAnsi="方正小标宋简体" w:eastAsia="方正小标宋简体" w:cs="方正小标宋简体"/>
          <w:bCs/>
          <w:kern w:val="44"/>
          <w:sz w:val="44"/>
          <w:szCs w:val="44"/>
        </w:rPr>
        <w:t>第四章  评审办法</w:t>
      </w:r>
      <w:bookmarkEnd w:id="7"/>
    </w:p>
    <w:p>
      <w:pPr>
        <w:numPr>
          <w:ilvl w:val="0"/>
          <w:numId w:val="5"/>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评审委员会的确定</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评审委员会由比选人按相关规定选取，评审委员会人数为5人。</w:t>
      </w:r>
    </w:p>
    <w:p>
      <w:pPr>
        <w:numPr>
          <w:ilvl w:val="0"/>
          <w:numId w:val="5"/>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评审程序</w:t>
      </w:r>
    </w:p>
    <w:p>
      <w:pPr>
        <w:spacing w:after="0" w:line="560" w:lineRule="exact"/>
        <w:ind w:firstLine="640" w:firstLineChars="200"/>
        <w:jc w:val="both"/>
        <w:rPr>
          <w:rFonts w:ascii="仿宋_GB2312" w:hAnsi="仿宋_GB2312" w:eastAsia="仿宋_GB2312" w:cs="仿宋_GB2312"/>
          <w:sz w:val="28"/>
          <w:szCs w:val="28"/>
        </w:rPr>
      </w:pPr>
      <w:r>
        <w:rPr>
          <w:rFonts w:hint="eastAsia" w:ascii="楷体_GB2312" w:hAnsi="楷体_GB2312" w:eastAsia="楷体_GB2312" w:cs="楷体_GB2312"/>
          <w:sz w:val="32"/>
          <w:szCs w:val="32"/>
        </w:rPr>
        <w:t>(一)评审程序</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资格审查→初步评审→谈判→详细评审评分→编写评审报告。</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(二)资格审查</w:t>
      </w:r>
    </w:p>
    <w:p>
      <w:pPr>
        <w:spacing w:after="0" w:line="56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1.评审委员会将对比选申请文件的下列内容进行审查和复核。</w:t>
      </w:r>
    </w:p>
    <w:p>
      <w:pPr>
        <w:pStyle w:val="9"/>
        <w:widowControl w:val="0"/>
        <w:tabs>
          <w:tab w:val="left" w:pos="600"/>
        </w:tabs>
        <w:adjustRightInd/>
        <w:snapToGrid/>
        <w:spacing w:after="0" w:line="600" w:lineRule="exact"/>
        <w:ind w:left="0" w:leftChars="0"/>
        <w:jc w:val="center"/>
        <w:rPr>
          <w:rFonts w:ascii="仿宋_GB2312" w:hAnsi="宋体" w:eastAsia="仿宋_GB2312" w:cs="宋体"/>
          <w:b/>
          <w:bCs/>
          <w:color w:val="000000"/>
          <w:kern w:val="2"/>
          <w:sz w:val="28"/>
          <w:szCs w:val="20"/>
        </w:rPr>
      </w:pPr>
      <w:r>
        <w:rPr>
          <w:rFonts w:hint="eastAsia" w:ascii="仿宋_GB2312" w:hAnsi="宋体" w:eastAsia="仿宋_GB2312" w:cs="宋体"/>
          <w:b/>
          <w:bCs/>
          <w:color w:val="000000"/>
          <w:kern w:val="2"/>
          <w:sz w:val="28"/>
          <w:szCs w:val="20"/>
        </w:rPr>
        <w:t>比选申请文件资格审查表</w:t>
      </w:r>
    </w:p>
    <w:tbl>
      <w:tblPr>
        <w:tblStyle w:val="22"/>
        <w:tblW w:w="7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550"/>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序号</w:t>
            </w:r>
          </w:p>
        </w:tc>
        <w:tc>
          <w:tcPr>
            <w:tcW w:w="3550"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审查内容</w:t>
            </w:r>
          </w:p>
        </w:tc>
        <w:tc>
          <w:tcPr>
            <w:tcW w:w="3512"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kern w:val="2"/>
                <w:sz w:val="24"/>
              </w:rPr>
            </w:pPr>
            <w:r>
              <w:rPr>
                <w:rFonts w:cs="宋体" w:asciiTheme="minorEastAsia" w:hAnsiTheme="minorEastAsia" w:eastAsiaTheme="minorEastAsia"/>
                <w:kern w:val="2"/>
                <w:sz w:val="24"/>
              </w:rPr>
              <w:t>1</w:t>
            </w:r>
          </w:p>
        </w:tc>
        <w:tc>
          <w:tcPr>
            <w:tcW w:w="3550"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税务师事务所要求</w:t>
            </w:r>
          </w:p>
        </w:tc>
        <w:tc>
          <w:tcPr>
            <w:tcW w:w="351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kern w:val="2"/>
                <w:sz w:val="24"/>
              </w:rPr>
            </w:pPr>
            <w:r>
              <w:rPr>
                <w:rFonts w:cs="宋体" w:asciiTheme="minorEastAsia" w:hAnsiTheme="minorEastAsia" w:eastAsiaTheme="minorEastAsia"/>
                <w:kern w:val="2"/>
                <w:sz w:val="24"/>
              </w:rPr>
              <w:t>2</w:t>
            </w:r>
          </w:p>
        </w:tc>
        <w:tc>
          <w:tcPr>
            <w:tcW w:w="3550" w:type="dxa"/>
            <w:vAlign w:val="center"/>
          </w:tcPr>
          <w:p>
            <w:pPr>
              <w:spacing w:after="0"/>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服务顾问团队要求</w:t>
            </w:r>
          </w:p>
        </w:tc>
        <w:tc>
          <w:tcPr>
            <w:tcW w:w="351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kern w:val="2"/>
                <w:sz w:val="24"/>
              </w:rPr>
            </w:pPr>
            <w:r>
              <w:rPr>
                <w:rFonts w:cs="宋体" w:asciiTheme="minorEastAsia" w:hAnsiTheme="minorEastAsia" w:eastAsiaTheme="minorEastAsia"/>
                <w:kern w:val="2"/>
                <w:sz w:val="24"/>
              </w:rPr>
              <w:t>3</w:t>
            </w:r>
          </w:p>
        </w:tc>
        <w:tc>
          <w:tcPr>
            <w:tcW w:w="3550" w:type="dxa"/>
            <w:vAlign w:val="center"/>
          </w:tcPr>
          <w:p>
            <w:pPr>
              <w:spacing w:after="0"/>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结论</w:t>
            </w:r>
          </w:p>
        </w:tc>
        <w:tc>
          <w:tcPr>
            <w:tcW w:w="351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以上条件必须全部通过</w:t>
            </w:r>
          </w:p>
        </w:tc>
      </w:tr>
    </w:tbl>
    <w:p>
      <w:pPr>
        <w:tabs>
          <w:tab w:val="left" w:pos="7860"/>
        </w:tabs>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2.资格审查结论为“合格”与“不合格”。</w:t>
      </w:r>
      <w:r>
        <w:rPr>
          <w:rFonts w:ascii="仿宋_GB2312" w:hAnsi="仿宋_GB2312" w:eastAsia="仿宋_GB2312" w:cs="仿宋_GB2312"/>
          <w:sz w:val="32"/>
          <w:szCs w:val="32"/>
        </w:rPr>
        <w:tab/>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3.资格审查一般实行强制性合格评审，凡有一项不合格则不能通过。但若比选按申请人及时进行有关澄清说明并予以补正，则在评审专家一致同意后进入下一步评审程序。</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(三)初步评审</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1.初步评审主要为评审委员会对各比选申请文件是否在实质上响应了比选文件要求进行评审。</w:t>
      </w:r>
    </w:p>
    <w:p>
      <w:pPr>
        <w:spacing w:after="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2.若比选申请文件有下表中所列任何一种情况的，则视为未能在实质上响应比选文件，属重大偏差，将不进入下一步评审程序。</w:t>
      </w:r>
    </w:p>
    <w:p>
      <w:pPr>
        <w:pStyle w:val="9"/>
        <w:widowControl w:val="0"/>
        <w:tabs>
          <w:tab w:val="left" w:pos="600"/>
        </w:tabs>
        <w:adjustRightInd/>
        <w:snapToGrid/>
        <w:spacing w:after="0" w:line="600" w:lineRule="exact"/>
        <w:ind w:left="0" w:leftChars="0"/>
        <w:jc w:val="center"/>
        <w:rPr>
          <w:rFonts w:ascii="仿宋_GB2312" w:hAnsi="宋体" w:eastAsia="仿宋_GB2312" w:cs="宋体"/>
          <w:b/>
          <w:bCs/>
          <w:color w:val="000000"/>
          <w:kern w:val="2"/>
          <w:sz w:val="28"/>
          <w:szCs w:val="20"/>
        </w:rPr>
      </w:pPr>
      <w:r>
        <w:rPr>
          <w:rFonts w:hint="eastAsia" w:ascii="仿宋_GB2312" w:hAnsi="宋体" w:eastAsia="仿宋_GB2312" w:cs="宋体"/>
          <w:b/>
          <w:bCs/>
          <w:color w:val="000000"/>
          <w:kern w:val="2"/>
          <w:sz w:val="28"/>
          <w:szCs w:val="20"/>
        </w:rPr>
        <w:t>比选申请文件初步评审表</w:t>
      </w:r>
    </w:p>
    <w:tbl>
      <w:tblPr>
        <w:tblStyle w:val="22"/>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5735"/>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52"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序号</w:t>
            </w:r>
          </w:p>
        </w:tc>
        <w:tc>
          <w:tcPr>
            <w:tcW w:w="5735"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重大偏差情况</w:t>
            </w:r>
          </w:p>
        </w:tc>
        <w:tc>
          <w:tcPr>
            <w:tcW w:w="2289"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是否存在重大偏差（填写“是”或“否”）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1</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比选申请文件签字或盖章不符合比选文件要求的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2</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明显不符合国家有关法规、文件和标准的要求的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3</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比选申请文件格式、内容不全或关键字迹模糊、无法辨认的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4</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比选申请人的报价不符合比选文件规定的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5</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比选申请文件附有比选人不能接受的条件的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487" w:type="dxa"/>
            <w:gridSpan w:val="2"/>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结论（应填写“通过”或“不通过”）</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bl>
    <w:p>
      <w:pPr>
        <w:spacing w:after="0" w:line="56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3.上述重大偏差之外的偏差为细微偏差。评审专家应当书面要求存在细微偏差的比选申请人在详细评审前予以补正。有关澄清说明与答复，比选申请人应以书面形式进行，但对实质性的内容不得更改。澄清问题作为比选申请文件的组成部分。</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)详细评审</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评审委员会集中审查比选申请文件，对符合比选资格要求的律所按照《评分细则》打分。</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后附：评分细则</w:t>
      </w:r>
      <w:r>
        <w:rPr>
          <w:rFonts w:hint="eastAsia" w:ascii="仿宋_GB2312" w:hAnsi="仿宋_GB2312" w:eastAsia="仿宋_GB2312" w:cs="仿宋_GB2312"/>
          <w:sz w:val="32"/>
          <w:szCs w:val="32"/>
        </w:rPr>
        <w:br w:type="page"/>
      </w:r>
    </w:p>
    <w:tbl>
      <w:tblPr>
        <w:tblStyle w:val="22"/>
        <w:tblpPr w:leftFromText="180" w:rightFromText="180" w:vertAnchor="text" w:horzAnchor="page" w:tblpXSpec="center" w:tblpY="633"/>
        <w:tblOverlap w:val="neve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792"/>
        <w:gridCol w:w="1199"/>
        <w:gridCol w:w="598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7"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序号</w:t>
            </w:r>
          </w:p>
        </w:tc>
        <w:tc>
          <w:tcPr>
            <w:tcW w:w="792"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评分因素权重</w:t>
            </w:r>
          </w:p>
        </w:tc>
        <w:tc>
          <w:tcPr>
            <w:tcW w:w="1199"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内容</w:t>
            </w:r>
          </w:p>
        </w:tc>
        <w:tc>
          <w:tcPr>
            <w:tcW w:w="5980"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评分标准</w:t>
            </w:r>
          </w:p>
        </w:tc>
        <w:tc>
          <w:tcPr>
            <w:tcW w:w="1199"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1</w:t>
            </w:r>
          </w:p>
        </w:tc>
        <w:tc>
          <w:tcPr>
            <w:tcW w:w="792"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报价20%</w:t>
            </w:r>
          </w:p>
        </w:tc>
        <w:tc>
          <w:tcPr>
            <w:tcW w:w="1199"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报价</w:t>
            </w:r>
          </w:p>
        </w:tc>
        <w:tc>
          <w:tcPr>
            <w:tcW w:w="5980" w:type="dxa"/>
            <w:vAlign w:val="center"/>
          </w:tcPr>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所有有效比选申请人的有效比选报价的算数平均值为评审基准价。</w:t>
            </w:r>
          </w:p>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比选申请人的报价为基准价的，得20分。</w:t>
            </w:r>
          </w:p>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比选申请人的报价高于/低于基准价的，每高1%扣0.2分，每低1%扣0.1分，扣完为止。中间值用插入法进行计算，小数点后保留两位。</w:t>
            </w:r>
          </w:p>
        </w:tc>
        <w:tc>
          <w:tcPr>
            <w:tcW w:w="1199"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17" w:type="dxa"/>
            <w:vMerge w:val="restart"/>
            <w:vAlign w:val="center"/>
          </w:tcPr>
          <w:p>
            <w:pPr>
              <w:spacing w:line="280" w:lineRule="exact"/>
              <w:jc w:val="center"/>
              <w:rPr>
                <w:rFonts w:ascii="仿宋" w:hAnsi="仿宋" w:eastAsia="仿宋" w:cs="宋体"/>
                <w:kern w:val="2"/>
                <w:sz w:val="24"/>
                <w:highlight w:val="none"/>
              </w:rPr>
            </w:pPr>
          </w:p>
        </w:tc>
        <w:tc>
          <w:tcPr>
            <w:tcW w:w="792" w:type="dxa"/>
            <w:vMerge w:val="restart"/>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履约能力</w:t>
            </w:r>
            <w:r>
              <w:rPr>
                <w:rFonts w:ascii="仿宋" w:hAnsi="仿宋" w:eastAsia="仿宋" w:cs="宋体"/>
                <w:kern w:val="2"/>
                <w:sz w:val="24"/>
                <w:highlight w:val="none"/>
              </w:rPr>
              <w:t>4</w:t>
            </w:r>
            <w:r>
              <w:rPr>
                <w:rFonts w:hint="eastAsia" w:ascii="仿宋" w:hAnsi="仿宋" w:eastAsia="仿宋" w:cs="宋体"/>
                <w:kern w:val="2"/>
                <w:sz w:val="24"/>
                <w:highlight w:val="none"/>
              </w:rPr>
              <w:t>0%</w:t>
            </w:r>
          </w:p>
        </w:tc>
        <w:tc>
          <w:tcPr>
            <w:tcW w:w="1199"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团队税务师执业经验</w:t>
            </w:r>
          </w:p>
        </w:tc>
        <w:tc>
          <w:tcPr>
            <w:tcW w:w="5980" w:type="dxa"/>
            <w:vAlign w:val="center"/>
          </w:tcPr>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1、项目负责人：①具有有效的高级会计师证得6分；②具有5（含5年）-8年（不含8年）税务工作经验的得2分，具有8年及以上税务工作经验的得8分</w:t>
            </w:r>
            <w:r>
              <w:rPr>
                <w:rFonts w:hint="eastAsia" w:ascii="仿宋" w:hAnsi="仿宋" w:eastAsia="仿宋" w:cs="宋体"/>
                <w:kern w:val="2"/>
                <w:sz w:val="24"/>
                <w:highlight w:val="none"/>
                <w:lang w:eastAsia="zh-CN"/>
              </w:rPr>
              <w:t>，</w:t>
            </w:r>
            <w:r>
              <w:rPr>
                <w:rFonts w:hint="eastAsia" w:ascii="仿宋" w:hAnsi="仿宋" w:eastAsia="仿宋" w:cs="宋体"/>
                <w:kern w:val="2"/>
                <w:sz w:val="24"/>
                <w:highlight w:val="none"/>
              </w:rPr>
              <w:t>本项最多得14分；</w:t>
            </w:r>
          </w:p>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2、项目其他人员：拟派本项目服务团队人员（不含项目负责人）在2（含2人)-3人（不含3人）得3分，在3人及以上的得6分，本项最多得6分。</w:t>
            </w:r>
          </w:p>
        </w:tc>
        <w:tc>
          <w:tcPr>
            <w:tcW w:w="1199"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17" w:type="dxa"/>
            <w:vMerge w:val="continue"/>
            <w:vAlign w:val="center"/>
          </w:tcPr>
          <w:p>
            <w:pPr>
              <w:spacing w:line="280" w:lineRule="exact"/>
              <w:jc w:val="center"/>
              <w:rPr>
                <w:rFonts w:ascii="仿宋" w:hAnsi="仿宋" w:eastAsia="仿宋" w:cs="宋体"/>
                <w:kern w:val="2"/>
                <w:sz w:val="24"/>
                <w:highlight w:val="none"/>
              </w:rPr>
            </w:pPr>
          </w:p>
        </w:tc>
        <w:tc>
          <w:tcPr>
            <w:tcW w:w="792" w:type="dxa"/>
            <w:vMerge w:val="continue"/>
            <w:vAlign w:val="center"/>
          </w:tcPr>
          <w:p>
            <w:pPr>
              <w:spacing w:line="280" w:lineRule="exact"/>
              <w:jc w:val="center"/>
              <w:rPr>
                <w:rFonts w:ascii="仿宋" w:hAnsi="仿宋" w:eastAsia="仿宋" w:cs="宋体"/>
                <w:kern w:val="2"/>
                <w:sz w:val="24"/>
                <w:highlight w:val="none"/>
              </w:rPr>
            </w:pPr>
          </w:p>
        </w:tc>
        <w:tc>
          <w:tcPr>
            <w:tcW w:w="1199" w:type="dxa"/>
            <w:vAlign w:val="center"/>
          </w:tcPr>
          <w:p>
            <w:pPr>
              <w:spacing w:line="280" w:lineRule="exact"/>
              <w:rPr>
                <w:rFonts w:ascii="仿宋" w:hAnsi="仿宋" w:eastAsia="仿宋" w:cs="宋体"/>
                <w:kern w:val="2"/>
                <w:sz w:val="24"/>
                <w:highlight w:val="none"/>
              </w:rPr>
            </w:pPr>
            <w:r>
              <w:rPr>
                <w:rFonts w:hint="eastAsia" w:ascii="仿宋" w:hAnsi="仿宋" w:eastAsia="仿宋" w:cs="宋体"/>
                <w:kern w:val="2"/>
                <w:sz w:val="24"/>
                <w:highlight w:val="none"/>
              </w:rPr>
              <w:t>团队常年税务顾问业绩</w:t>
            </w:r>
          </w:p>
        </w:tc>
        <w:tc>
          <w:tcPr>
            <w:tcW w:w="5980" w:type="dxa"/>
            <w:vAlign w:val="center"/>
          </w:tcPr>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满足资格要求得8分，在此基础上，2018年1月1日至今每增加1个市级及以上国有企业或上市公司的税务咨询项目加6分，本项最多得20分（业绩不重复得分）。</w:t>
            </w:r>
          </w:p>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注：上述同一业绩不重复得分，同一服务对象不同年度业绩可视为不同业绩单独得分。提供合同复印件</w:t>
            </w:r>
          </w:p>
        </w:tc>
        <w:tc>
          <w:tcPr>
            <w:tcW w:w="1199"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617" w:type="dxa"/>
            <w:vMerge w:val="restart"/>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3</w:t>
            </w:r>
          </w:p>
        </w:tc>
        <w:tc>
          <w:tcPr>
            <w:tcW w:w="792" w:type="dxa"/>
            <w:vMerge w:val="restart"/>
            <w:vAlign w:val="center"/>
          </w:tcPr>
          <w:p>
            <w:pPr>
              <w:spacing w:after="0" w:line="36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服务</w:t>
            </w:r>
          </w:p>
          <w:p>
            <w:pPr>
              <w:spacing w:after="0" w:line="36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方案</w:t>
            </w:r>
          </w:p>
          <w:p>
            <w:pPr>
              <w:spacing w:after="0" w:line="360" w:lineRule="exact"/>
              <w:jc w:val="center"/>
              <w:rPr>
                <w:rFonts w:ascii="仿宋" w:hAnsi="仿宋" w:eastAsia="仿宋" w:cs="宋体"/>
                <w:kern w:val="2"/>
                <w:sz w:val="24"/>
                <w:highlight w:val="none"/>
              </w:rPr>
            </w:pPr>
            <w:r>
              <w:rPr>
                <w:rFonts w:ascii="仿宋" w:hAnsi="仿宋" w:eastAsia="仿宋" w:cs="宋体"/>
                <w:kern w:val="2"/>
                <w:sz w:val="24"/>
                <w:highlight w:val="none"/>
              </w:rPr>
              <w:t>4</w:t>
            </w:r>
            <w:r>
              <w:rPr>
                <w:rFonts w:hint="eastAsia" w:ascii="仿宋" w:hAnsi="仿宋" w:eastAsia="仿宋" w:cs="宋体"/>
                <w:kern w:val="2"/>
                <w:sz w:val="24"/>
                <w:highlight w:val="none"/>
              </w:rPr>
              <w:t>0%</w:t>
            </w:r>
          </w:p>
        </w:tc>
        <w:tc>
          <w:tcPr>
            <w:tcW w:w="1199"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税务顾问服务方案</w:t>
            </w:r>
          </w:p>
        </w:tc>
        <w:tc>
          <w:tcPr>
            <w:tcW w:w="5980" w:type="dxa"/>
            <w:vAlign w:val="center"/>
          </w:tcPr>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事务所对本项目税务顾问服务的工作思路、工作重难点、工作方法及保密措施等进行阐述。评标委员会对方案的合理性、完整性、可操作性进行综合评审。优得</w:t>
            </w:r>
            <w:r>
              <w:rPr>
                <w:rFonts w:ascii="仿宋" w:hAnsi="仿宋" w:eastAsia="仿宋" w:cs="宋体"/>
                <w:kern w:val="2"/>
                <w:sz w:val="24"/>
                <w:highlight w:val="none"/>
              </w:rPr>
              <w:t>3</w:t>
            </w:r>
            <w:r>
              <w:rPr>
                <w:rFonts w:hint="eastAsia" w:ascii="仿宋" w:hAnsi="仿宋" w:eastAsia="仿宋" w:cs="宋体"/>
                <w:kern w:val="2"/>
                <w:sz w:val="24"/>
                <w:highlight w:val="none"/>
              </w:rPr>
              <w:t>0～</w:t>
            </w:r>
            <w:r>
              <w:rPr>
                <w:rFonts w:ascii="仿宋" w:hAnsi="仿宋" w:eastAsia="仿宋" w:cs="宋体"/>
                <w:kern w:val="2"/>
                <w:sz w:val="24"/>
                <w:highlight w:val="none"/>
              </w:rPr>
              <w:t>20</w:t>
            </w:r>
            <w:r>
              <w:rPr>
                <w:rFonts w:hint="eastAsia" w:ascii="仿宋" w:hAnsi="仿宋" w:eastAsia="仿宋" w:cs="宋体"/>
                <w:kern w:val="2"/>
                <w:sz w:val="24"/>
                <w:highlight w:val="none"/>
              </w:rPr>
              <w:t>分，良得</w:t>
            </w:r>
            <w:r>
              <w:rPr>
                <w:rFonts w:ascii="仿宋" w:hAnsi="仿宋" w:eastAsia="仿宋" w:cs="宋体"/>
                <w:kern w:val="2"/>
                <w:sz w:val="24"/>
                <w:highlight w:val="none"/>
              </w:rPr>
              <w:t>20</w:t>
            </w:r>
            <w:r>
              <w:rPr>
                <w:rFonts w:hint="eastAsia" w:ascii="仿宋" w:hAnsi="仿宋" w:eastAsia="仿宋" w:cs="宋体"/>
                <w:kern w:val="2"/>
                <w:sz w:val="24"/>
                <w:highlight w:val="none"/>
              </w:rPr>
              <w:t>～10分，一般得9～1分，无得0分。</w:t>
            </w:r>
          </w:p>
        </w:tc>
        <w:tc>
          <w:tcPr>
            <w:tcW w:w="1199" w:type="dxa"/>
            <w:vAlign w:val="center"/>
          </w:tcPr>
          <w:p>
            <w:pPr>
              <w:spacing w:line="280" w:lineRule="exact"/>
              <w:jc w:val="center"/>
              <w:rPr>
                <w:rFonts w:ascii="仿宋" w:hAnsi="仿宋" w:eastAsia="仿宋" w:cs="宋体"/>
                <w:kern w:val="2"/>
                <w:sz w:val="24"/>
                <w:highlight w:val="none"/>
              </w:rPr>
            </w:pPr>
            <w:r>
              <w:rPr>
                <w:rFonts w:ascii="仿宋" w:hAnsi="仿宋" w:eastAsia="仿宋" w:cs="宋体"/>
                <w:kern w:val="2"/>
                <w:sz w:val="24"/>
                <w:highlight w:val="none"/>
              </w:rPr>
              <w:t>3</w:t>
            </w:r>
            <w:r>
              <w:rPr>
                <w:rFonts w:hint="eastAsia" w:ascii="仿宋" w:hAnsi="仿宋" w:eastAsia="仿宋" w:cs="宋体"/>
                <w:kern w:val="2"/>
                <w:sz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617" w:type="dxa"/>
            <w:vMerge w:val="continue"/>
            <w:vAlign w:val="center"/>
          </w:tcPr>
          <w:p>
            <w:pPr>
              <w:spacing w:line="280" w:lineRule="exact"/>
              <w:jc w:val="center"/>
              <w:rPr>
                <w:rFonts w:ascii="仿宋" w:hAnsi="仿宋" w:eastAsia="仿宋" w:cs="宋体"/>
                <w:kern w:val="2"/>
                <w:sz w:val="24"/>
                <w:highlight w:val="none"/>
              </w:rPr>
            </w:pPr>
          </w:p>
        </w:tc>
        <w:tc>
          <w:tcPr>
            <w:tcW w:w="792" w:type="dxa"/>
            <w:vMerge w:val="continue"/>
            <w:vAlign w:val="center"/>
          </w:tcPr>
          <w:p>
            <w:pPr>
              <w:spacing w:line="280" w:lineRule="exact"/>
              <w:jc w:val="center"/>
              <w:rPr>
                <w:rFonts w:ascii="仿宋" w:hAnsi="仿宋" w:eastAsia="仿宋" w:cs="宋体"/>
                <w:kern w:val="2"/>
                <w:sz w:val="24"/>
                <w:highlight w:val="none"/>
              </w:rPr>
            </w:pPr>
          </w:p>
        </w:tc>
        <w:tc>
          <w:tcPr>
            <w:tcW w:w="1199" w:type="dxa"/>
            <w:vAlign w:val="center"/>
          </w:tcPr>
          <w:p>
            <w:pPr>
              <w:spacing w:line="280" w:lineRule="exact"/>
              <w:jc w:val="center"/>
              <w:rPr>
                <w:rFonts w:ascii="仿宋" w:hAnsi="仿宋" w:eastAsia="仿宋" w:cs="宋体"/>
                <w:kern w:val="2"/>
                <w:sz w:val="24"/>
                <w:highlight w:val="none"/>
              </w:rPr>
            </w:pPr>
            <w:r>
              <w:rPr>
                <w:rFonts w:hint="eastAsia" w:ascii="仿宋" w:hAnsi="仿宋" w:eastAsia="仿宋" w:cs="宋体"/>
                <w:kern w:val="2"/>
                <w:sz w:val="24"/>
                <w:highlight w:val="none"/>
              </w:rPr>
              <w:t>服务方案中的人员配备</w:t>
            </w:r>
          </w:p>
        </w:tc>
        <w:tc>
          <w:tcPr>
            <w:tcW w:w="5980" w:type="dxa"/>
            <w:vAlign w:val="center"/>
          </w:tcPr>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配备人数合理，人员结构科学，人员从业经验丰富，得10～</w:t>
            </w:r>
            <w:r>
              <w:rPr>
                <w:rFonts w:ascii="仿宋" w:hAnsi="仿宋" w:eastAsia="仿宋" w:cs="宋体"/>
                <w:kern w:val="2"/>
                <w:sz w:val="24"/>
                <w:highlight w:val="none"/>
              </w:rPr>
              <w:t>8</w:t>
            </w:r>
            <w:r>
              <w:rPr>
                <w:rFonts w:hint="eastAsia" w:ascii="仿宋" w:hAnsi="仿宋" w:eastAsia="仿宋" w:cs="宋体"/>
                <w:kern w:val="2"/>
                <w:sz w:val="24"/>
                <w:highlight w:val="none"/>
              </w:rPr>
              <w:t>分；配备人数较合理，人员结构较科学，人员从业经验较丰富，得</w:t>
            </w:r>
            <w:r>
              <w:rPr>
                <w:rFonts w:ascii="仿宋" w:hAnsi="仿宋" w:eastAsia="仿宋" w:cs="宋体"/>
                <w:kern w:val="2"/>
                <w:sz w:val="24"/>
                <w:highlight w:val="none"/>
              </w:rPr>
              <w:t>7</w:t>
            </w:r>
            <w:r>
              <w:rPr>
                <w:rFonts w:hint="eastAsia" w:ascii="仿宋" w:hAnsi="仿宋" w:eastAsia="仿宋" w:cs="宋体"/>
                <w:kern w:val="2"/>
                <w:sz w:val="24"/>
                <w:highlight w:val="none"/>
              </w:rPr>
              <w:t>～</w:t>
            </w:r>
            <w:r>
              <w:rPr>
                <w:rFonts w:ascii="仿宋" w:hAnsi="仿宋" w:eastAsia="仿宋" w:cs="宋体"/>
                <w:kern w:val="2"/>
                <w:sz w:val="24"/>
                <w:highlight w:val="none"/>
              </w:rPr>
              <w:t>5</w:t>
            </w:r>
            <w:r>
              <w:rPr>
                <w:rFonts w:hint="eastAsia" w:ascii="仿宋" w:hAnsi="仿宋" w:eastAsia="仿宋" w:cs="宋体"/>
                <w:kern w:val="2"/>
                <w:sz w:val="24"/>
                <w:highlight w:val="none"/>
              </w:rPr>
              <w:t>分；配备人数不合理，人员结构不科学，人员从业经验一般，得</w:t>
            </w:r>
            <w:r>
              <w:rPr>
                <w:rFonts w:ascii="仿宋" w:hAnsi="仿宋" w:eastAsia="仿宋" w:cs="宋体"/>
                <w:kern w:val="2"/>
                <w:sz w:val="24"/>
                <w:highlight w:val="none"/>
              </w:rPr>
              <w:t>4</w:t>
            </w:r>
            <w:r>
              <w:rPr>
                <w:rFonts w:hint="eastAsia" w:ascii="仿宋" w:hAnsi="仿宋" w:eastAsia="仿宋" w:cs="宋体"/>
                <w:kern w:val="2"/>
                <w:sz w:val="24"/>
                <w:highlight w:val="none"/>
              </w:rPr>
              <w:t>～</w:t>
            </w:r>
            <w:r>
              <w:rPr>
                <w:rFonts w:ascii="仿宋" w:hAnsi="仿宋" w:eastAsia="仿宋" w:cs="宋体"/>
                <w:kern w:val="2"/>
                <w:sz w:val="24"/>
                <w:highlight w:val="none"/>
              </w:rPr>
              <w:t>2</w:t>
            </w:r>
            <w:r>
              <w:rPr>
                <w:rFonts w:hint="eastAsia" w:ascii="仿宋" w:hAnsi="仿宋" w:eastAsia="仿宋" w:cs="宋体"/>
                <w:kern w:val="2"/>
                <w:sz w:val="24"/>
                <w:highlight w:val="none"/>
              </w:rPr>
              <w:t>分，无此内容，得0分。</w:t>
            </w:r>
          </w:p>
        </w:tc>
        <w:tc>
          <w:tcPr>
            <w:tcW w:w="1199" w:type="dxa"/>
            <w:vAlign w:val="center"/>
          </w:tcPr>
          <w:p>
            <w:pPr>
              <w:spacing w:line="280" w:lineRule="exact"/>
              <w:jc w:val="center"/>
              <w:rPr>
                <w:rFonts w:ascii="仿宋" w:hAnsi="仿宋" w:eastAsia="仿宋" w:cs="宋体"/>
                <w:kern w:val="2"/>
                <w:sz w:val="24"/>
                <w:highlight w:val="none"/>
              </w:rPr>
            </w:pPr>
            <w:r>
              <w:rPr>
                <w:rFonts w:ascii="仿宋" w:hAnsi="仿宋" w:eastAsia="仿宋" w:cs="宋体"/>
                <w:kern w:val="2"/>
                <w:sz w:val="24"/>
                <w:highlight w:val="none"/>
              </w:rPr>
              <w:t>1</w:t>
            </w:r>
            <w:r>
              <w:rPr>
                <w:rFonts w:hint="eastAsia" w:ascii="仿宋" w:hAnsi="仿宋" w:eastAsia="仿宋" w:cs="宋体"/>
                <w:kern w:val="2"/>
                <w:sz w:val="24"/>
                <w:highlight w:val="none"/>
              </w:rPr>
              <w:t>0分</w:t>
            </w:r>
          </w:p>
        </w:tc>
      </w:tr>
    </w:tbl>
    <w:p>
      <w:pPr>
        <w:numPr>
          <w:ilvl w:val="0"/>
          <w:numId w:val="5"/>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综合评分</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各比选申请人的综合得分等于评分细则各项之和，各项得分按四舍五入原则精确到小数点后</w:t>
      </w:r>
      <w:r>
        <w:rPr>
          <w:rFonts w:hint="eastAsia" w:ascii="仿宋_GB2312" w:hAnsi="仿宋_GB2312" w:eastAsia="仿宋_GB2312" w:cs="仿宋_GB2312"/>
          <w:sz w:val="32"/>
          <w:szCs w:val="32"/>
          <w:lang w:val="en-US" w:eastAsia="zh-CN"/>
        </w:rPr>
        <w:t>一位</w:t>
      </w:r>
      <w:r>
        <w:rPr>
          <w:rFonts w:hint="eastAsia" w:ascii="仿宋_GB2312" w:hAnsi="仿宋_GB2312" w:eastAsia="仿宋_GB2312" w:cs="仿宋_GB2312"/>
          <w:sz w:val="32"/>
          <w:szCs w:val="32"/>
        </w:rPr>
        <w:t>。</w:t>
      </w:r>
    </w:p>
    <w:p>
      <w:pPr>
        <w:numPr>
          <w:ilvl w:val="0"/>
          <w:numId w:val="5"/>
        </w:numPr>
        <w:spacing w:after="0" w:line="500" w:lineRule="exact"/>
        <w:ind w:firstLine="640" w:firstLineChars="200"/>
        <w:rPr>
          <w:rFonts w:ascii="黑体" w:hAnsi="黑体" w:eastAsia="黑体" w:cs="黑体"/>
          <w:sz w:val="32"/>
          <w:szCs w:val="32"/>
        </w:rPr>
      </w:pPr>
      <w:r>
        <w:rPr>
          <w:rFonts w:hint="eastAsia" w:ascii="黑体" w:hAnsi="黑体" w:eastAsia="黑体" w:cs="黑体"/>
          <w:sz w:val="32"/>
          <w:szCs w:val="32"/>
        </w:rPr>
        <w:t>推荐中选候选人</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评审委员会对通过资格评审的比选申请人，按照经评审的综合得分由高到低推荐中选候选人（若不足3名，则按相应数量推荐）。若多名比选申请人的综合得分相同，则报价低的比选申请人将被优先推荐。</w:t>
      </w:r>
      <w:bookmarkStart w:id="8" w:name="_GoBack"/>
      <w:bookmarkEnd w:id="8"/>
    </w:p>
    <w:p>
      <w:pPr>
        <w:spacing w:after="0" w:line="560" w:lineRule="exact"/>
        <w:ind w:firstLine="640" w:firstLineChars="200"/>
        <w:jc w:val="both"/>
        <w:rPr>
          <w:rFonts w:hint="eastAsia" w:ascii="仿宋_GB2312" w:hAnsi="仿宋_GB2312" w:eastAsia="仿宋_GB2312" w:cs="仿宋_GB2312"/>
          <w:sz w:val="32"/>
          <w:szCs w:val="32"/>
        </w:rPr>
      </w:pPr>
    </w:p>
    <w:sectPr>
      <w:footerReference r:id="rId6" w:type="first"/>
      <w:footerReference r:id="rId5" w:type="default"/>
      <w:pgSz w:w="11906" w:h="16838"/>
      <w:pgMar w:top="2098" w:right="1474" w:bottom="1984" w:left="1587" w:header="851" w:footer="992"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50"/>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906311"/>
    </w:sdtPr>
    <w:sdtContent>
      <w:p>
        <w:pPr>
          <w:pStyle w:val="13"/>
          <w:jc w:val="center"/>
        </w:pPr>
        <w:r>
          <w:fldChar w:fldCharType="begin"/>
        </w:r>
        <w:r>
          <w:instrText xml:space="preserve">PAGE   \* MERGEFORMAT</w:instrText>
        </w:r>
        <w:r>
          <w:fldChar w:fldCharType="separate"/>
        </w:r>
        <w:r>
          <w:rPr>
            <w:lang w:val="zh-CN"/>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236274"/>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95DE3"/>
    <w:multiLevelType w:val="singleLevel"/>
    <w:tmpl w:val="B7995DE3"/>
    <w:lvl w:ilvl="0" w:tentative="0">
      <w:start w:val="1"/>
      <w:numFmt w:val="chineseCounting"/>
      <w:suff w:val="nothing"/>
      <w:lvlText w:val="（%1）"/>
      <w:lvlJc w:val="left"/>
      <w:rPr>
        <w:rFonts w:hint="eastAsia"/>
      </w:rPr>
    </w:lvl>
  </w:abstractNum>
  <w:abstractNum w:abstractNumId="1">
    <w:nsid w:val="F7533932"/>
    <w:multiLevelType w:val="singleLevel"/>
    <w:tmpl w:val="F7533932"/>
    <w:lvl w:ilvl="0" w:tentative="0">
      <w:start w:val="1"/>
      <w:numFmt w:val="chineseCounting"/>
      <w:suff w:val="nothing"/>
      <w:lvlText w:val="%1、"/>
      <w:lvlJc w:val="left"/>
      <w:rPr>
        <w:rFonts w:hint="eastAsia"/>
        <w:b/>
        <w:bCs/>
      </w:rPr>
    </w:lvl>
  </w:abstractNum>
  <w:abstractNum w:abstractNumId="2">
    <w:nsid w:val="10314634"/>
    <w:multiLevelType w:val="singleLevel"/>
    <w:tmpl w:val="10314634"/>
    <w:lvl w:ilvl="0" w:tentative="0">
      <w:start w:val="1"/>
      <w:numFmt w:val="chineseCounting"/>
      <w:suff w:val="nothing"/>
      <w:lvlText w:val="%1、"/>
      <w:lvlJc w:val="left"/>
      <w:rPr>
        <w:rFonts w:hint="eastAsia"/>
        <w:b/>
        <w:bCs/>
      </w:rPr>
    </w:lvl>
  </w:abstractNum>
  <w:abstractNum w:abstractNumId="3">
    <w:nsid w:val="19D3F470"/>
    <w:multiLevelType w:val="singleLevel"/>
    <w:tmpl w:val="19D3F470"/>
    <w:lvl w:ilvl="0" w:tentative="0">
      <w:start w:val="1"/>
      <w:numFmt w:val="chineseCounting"/>
      <w:suff w:val="nothing"/>
      <w:lvlText w:val="%1、"/>
      <w:lvlJc w:val="left"/>
      <w:rPr>
        <w:rFonts w:hint="eastAsia"/>
        <w:b/>
        <w:bCs/>
      </w:rPr>
    </w:lvl>
  </w:abstractNum>
  <w:abstractNum w:abstractNumId="4">
    <w:nsid w:val="3FC1FC69"/>
    <w:multiLevelType w:val="singleLevel"/>
    <w:tmpl w:val="3FC1FC69"/>
    <w:lvl w:ilvl="0" w:tentative="0">
      <w:start w:val="1"/>
      <w:numFmt w:val="chineseCounting"/>
      <w:suff w:val="nothing"/>
      <w:lvlText w:val="%1、"/>
      <w:lvlJc w:val="left"/>
      <w:rPr>
        <w:rFonts w:hint="eastAsia"/>
        <w:b/>
        <w:bC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drawingGridHorizontalSpacing w:val="110"/>
  <w:drawingGridVerticalSpacing w:val="156"/>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MWM4ZTE3MGNkOTM3YzQzMWU0NzE4Yzg0NGZlNDYifQ=="/>
  </w:docVars>
  <w:rsids>
    <w:rsidRoot w:val="00172A27"/>
    <w:rsid w:val="00002DB9"/>
    <w:rsid w:val="00002DDE"/>
    <w:rsid w:val="00017EA0"/>
    <w:rsid w:val="00020BB4"/>
    <w:rsid w:val="000217AC"/>
    <w:rsid w:val="00036445"/>
    <w:rsid w:val="00037127"/>
    <w:rsid w:val="000523B0"/>
    <w:rsid w:val="00056685"/>
    <w:rsid w:val="0006168E"/>
    <w:rsid w:val="00064337"/>
    <w:rsid w:val="00087D57"/>
    <w:rsid w:val="000919FA"/>
    <w:rsid w:val="0009526C"/>
    <w:rsid w:val="00096776"/>
    <w:rsid w:val="000A7BEE"/>
    <w:rsid w:val="000B1A93"/>
    <w:rsid w:val="000B70BD"/>
    <w:rsid w:val="000B7DF1"/>
    <w:rsid w:val="000C110F"/>
    <w:rsid w:val="000C32D7"/>
    <w:rsid w:val="000C38A7"/>
    <w:rsid w:val="000D1779"/>
    <w:rsid w:val="000D7760"/>
    <w:rsid w:val="000E0DF1"/>
    <w:rsid w:val="000E280D"/>
    <w:rsid w:val="000E5DC5"/>
    <w:rsid w:val="000F57C7"/>
    <w:rsid w:val="000F589B"/>
    <w:rsid w:val="001005FA"/>
    <w:rsid w:val="001252CE"/>
    <w:rsid w:val="00127650"/>
    <w:rsid w:val="001411B9"/>
    <w:rsid w:val="00143684"/>
    <w:rsid w:val="001625B1"/>
    <w:rsid w:val="00171251"/>
    <w:rsid w:val="00172A27"/>
    <w:rsid w:val="0017461A"/>
    <w:rsid w:val="00176598"/>
    <w:rsid w:val="001970C9"/>
    <w:rsid w:val="00197745"/>
    <w:rsid w:val="001A1D51"/>
    <w:rsid w:val="001C3A17"/>
    <w:rsid w:val="001D3131"/>
    <w:rsid w:val="001E0394"/>
    <w:rsid w:val="001E1B5F"/>
    <w:rsid w:val="001E2D4E"/>
    <w:rsid w:val="001F0A63"/>
    <w:rsid w:val="00200F38"/>
    <w:rsid w:val="00211831"/>
    <w:rsid w:val="00214F88"/>
    <w:rsid w:val="0021595C"/>
    <w:rsid w:val="00216136"/>
    <w:rsid w:val="0022062F"/>
    <w:rsid w:val="00222025"/>
    <w:rsid w:val="00224F1B"/>
    <w:rsid w:val="00230546"/>
    <w:rsid w:val="00237E73"/>
    <w:rsid w:val="0024272C"/>
    <w:rsid w:val="002460D4"/>
    <w:rsid w:val="0024765D"/>
    <w:rsid w:val="00247C59"/>
    <w:rsid w:val="002517F0"/>
    <w:rsid w:val="00257240"/>
    <w:rsid w:val="00261EC6"/>
    <w:rsid w:val="002620D7"/>
    <w:rsid w:val="0026215E"/>
    <w:rsid w:val="00275AEB"/>
    <w:rsid w:val="00281518"/>
    <w:rsid w:val="00286DE3"/>
    <w:rsid w:val="00291F5D"/>
    <w:rsid w:val="002A4452"/>
    <w:rsid w:val="002A7FB3"/>
    <w:rsid w:val="002C32C3"/>
    <w:rsid w:val="002C68D0"/>
    <w:rsid w:val="002C7466"/>
    <w:rsid w:val="002D6276"/>
    <w:rsid w:val="002D6D34"/>
    <w:rsid w:val="002D7926"/>
    <w:rsid w:val="002F044B"/>
    <w:rsid w:val="002F1576"/>
    <w:rsid w:val="002F40E7"/>
    <w:rsid w:val="002F4C0F"/>
    <w:rsid w:val="002F7E13"/>
    <w:rsid w:val="00301C7E"/>
    <w:rsid w:val="00314E0B"/>
    <w:rsid w:val="0031601E"/>
    <w:rsid w:val="00326102"/>
    <w:rsid w:val="003346AB"/>
    <w:rsid w:val="0034670D"/>
    <w:rsid w:val="00347599"/>
    <w:rsid w:val="00355D20"/>
    <w:rsid w:val="00362A47"/>
    <w:rsid w:val="00372528"/>
    <w:rsid w:val="00376897"/>
    <w:rsid w:val="00376B03"/>
    <w:rsid w:val="00380C41"/>
    <w:rsid w:val="00382927"/>
    <w:rsid w:val="00383F32"/>
    <w:rsid w:val="00386EBB"/>
    <w:rsid w:val="00387900"/>
    <w:rsid w:val="00390930"/>
    <w:rsid w:val="00395D5D"/>
    <w:rsid w:val="003A0EA0"/>
    <w:rsid w:val="003A70DD"/>
    <w:rsid w:val="003B0E6D"/>
    <w:rsid w:val="003B6CAC"/>
    <w:rsid w:val="003D3E59"/>
    <w:rsid w:val="003D4124"/>
    <w:rsid w:val="003D43FC"/>
    <w:rsid w:val="003D667F"/>
    <w:rsid w:val="003E03EF"/>
    <w:rsid w:val="003E1B42"/>
    <w:rsid w:val="003E40DC"/>
    <w:rsid w:val="003E6203"/>
    <w:rsid w:val="003F57AE"/>
    <w:rsid w:val="003F593E"/>
    <w:rsid w:val="00400169"/>
    <w:rsid w:val="00403C0B"/>
    <w:rsid w:val="00410511"/>
    <w:rsid w:val="00412A2F"/>
    <w:rsid w:val="004133A7"/>
    <w:rsid w:val="0041461F"/>
    <w:rsid w:val="00414FAA"/>
    <w:rsid w:val="0041628D"/>
    <w:rsid w:val="00420560"/>
    <w:rsid w:val="00422DFE"/>
    <w:rsid w:val="00425F22"/>
    <w:rsid w:val="00435C34"/>
    <w:rsid w:val="004401A0"/>
    <w:rsid w:val="00447A7F"/>
    <w:rsid w:val="004520E0"/>
    <w:rsid w:val="00452E86"/>
    <w:rsid w:val="004538E5"/>
    <w:rsid w:val="00466370"/>
    <w:rsid w:val="00470F2B"/>
    <w:rsid w:val="00480F2E"/>
    <w:rsid w:val="00493ADC"/>
    <w:rsid w:val="004A1EC1"/>
    <w:rsid w:val="004A3437"/>
    <w:rsid w:val="004A645E"/>
    <w:rsid w:val="004A7E69"/>
    <w:rsid w:val="004E698D"/>
    <w:rsid w:val="004F01C5"/>
    <w:rsid w:val="005019E5"/>
    <w:rsid w:val="00504388"/>
    <w:rsid w:val="00507654"/>
    <w:rsid w:val="00512850"/>
    <w:rsid w:val="005324AA"/>
    <w:rsid w:val="00556BF8"/>
    <w:rsid w:val="00562E50"/>
    <w:rsid w:val="0057165D"/>
    <w:rsid w:val="0057352C"/>
    <w:rsid w:val="00573FC9"/>
    <w:rsid w:val="00581FB0"/>
    <w:rsid w:val="00582542"/>
    <w:rsid w:val="0058563C"/>
    <w:rsid w:val="0059182D"/>
    <w:rsid w:val="005925AA"/>
    <w:rsid w:val="005942C3"/>
    <w:rsid w:val="005A149A"/>
    <w:rsid w:val="005B15FF"/>
    <w:rsid w:val="005B4663"/>
    <w:rsid w:val="005C1185"/>
    <w:rsid w:val="005D4EA7"/>
    <w:rsid w:val="005F1353"/>
    <w:rsid w:val="00601DA6"/>
    <w:rsid w:val="006068D1"/>
    <w:rsid w:val="0060695F"/>
    <w:rsid w:val="006131E7"/>
    <w:rsid w:val="0064066C"/>
    <w:rsid w:val="006544A0"/>
    <w:rsid w:val="0066134B"/>
    <w:rsid w:val="00663F49"/>
    <w:rsid w:val="006656D8"/>
    <w:rsid w:val="00683E27"/>
    <w:rsid w:val="00685699"/>
    <w:rsid w:val="006A30DB"/>
    <w:rsid w:val="006A35AD"/>
    <w:rsid w:val="006A4462"/>
    <w:rsid w:val="006C346A"/>
    <w:rsid w:val="006C4682"/>
    <w:rsid w:val="006D4A73"/>
    <w:rsid w:val="006E0C1B"/>
    <w:rsid w:val="006E4259"/>
    <w:rsid w:val="006F47F3"/>
    <w:rsid w:val="006F598A"/>
    <w:rsid w:val="0070086F"/>
    <w:rsid w:val="00700FDA"/>
    <w:rsid w:val="00702443"/>
    <w:rsid w:val="00716EB3"/>
    <w:rsid w:val="007176C8"/>
    <w:rsid w:val="007239B7"/>
    <w:rsid w:val="007368B8"/>
    <w:rsid w:val="00737653"/>
    <w:rsid w:val="00745843"/>
    <w:rsid w:val="00746E57"/>
    <w:rsid w:val="00751E88"/>
    <w:rsid w:val="00752317"/>
    <w:rsid w:val="00753476"/>
    <w:rsid w:val="00770266"/>
    <w:rsid w:val="00775353"/>
    <w:rsid w:val="007756A9"/>
    <w:rsid w:val="0077696C"/>
    <w:rsid w:val="00777EA9"/>
    <w:rsid w:val="00781E45"/>
    <w:rsid w:val="00782E58"/>
    <w:rsid w:val="007949CC"/>
    <w:rsid w:val="007A5BA9"/>
    <w:rsid w:val="007C130B"/>
    <w:rsid w:val="007C2823"/>
    <w:rsid w:val="007C3780"/>
    <w:rsid w:val="007C4516"/>
    <w:rsid w:val="007C4FB1"/>
    <w:rsid w:val="007D47C5"/>
    <w:rsid w:val="007E6829"/>
    <w:rsid w:val="007F1E4C"/>
    <w:rsid w:val="007F3074"/>
    <w:rsid w:val="007F3D34"/>
    <w:rsid w:val="007F6BED"/>
    <w:rsid w:val="008001AD"/>
    <w:rsid w:val="00802D7C"/>
    <w:rsid w:val="00803293"/>
    <w:rsid w:val="00810968"/>
    <w:rsid w:val="00810F36"/>
    <w:rsid w:val="0081505A"/>
    <w:rsid w:val="00821D76"/>
    <w:rsid w:val="008329E1"/>
    <w:rsid w:val="0084172C"/>
    <w:rsid w:val="008436A8"/>
    <w:rsid w:val="00845A22"/>
    <w:rsid w:val="00860EE9"/>
    <w:rsid w:val="00861EC4"/>
    <w:rsid w:val="008653AB"/>
    <w:rsid w:val="008804F0"/>
    <w:rsid w:val="0088141B"/>
    <w:rsid w:val="0088174E"/>
    <w:rsid w:val="00881BE6"/>
    <w:rsid w:val="008A46C8"/>
    <w:rsid w:val="008A6C7B"/>
    <w:rsid w:val="008B017F"/>
    <w:rsid w:val="008B78E9"/>
    <w:rsid w:val="008D6CA0"/>
    <w:rsid w:val="008E03C9"/>
    <w:rsid w:val="008E123B"/>
    <w:rsid w:val="008E3067"/>
    <w:rsid w:val="008E5116"/>
    <w:rsid w:val="008E6521"/>
    <w:rsid w:val="008E6688"/>
    <w:rsid w:val="008E7795"/>
    <w:rsid w:val="008F04B0"/>
    <w:rsid w:val="00902644"/>
    <w:rsid w:val="00916BB3"/>
    <w:rsid w:val="00933C42"/>
    <w:rsid w:val="00934D8F"/>
    <w:rsid w:val="0095661C"/>
    <w:rsid w:val="00957111"/>
    <w:rsid w:val="00957C77"/>
    <w:rsid w:val="009658DE"/>
    <w:rsid w:val="00966DBA"/>
    <w:rsid w:val="009708E7"/>
    <w:rsid w:val="0097439A"/>
    <w:rsid w:val="0098375D"/>
    <w:rsid w:val="00983D9E"/>
    <w:rsid w:val="00985D4C"/>
    <w:rsid w:val="00996AD3"/>
    <w:rsid w:val="009A0C5B"/>
    <w:rsid w:val="009A4F1C"/>
    <w:rsid w:val="009B0703"/>
    <w:rsid w:val="009B68F2"/>
    <w:rsid w:val="009D50F9"/>
    <w:rsid w:val="009E50BF"/>
    <w:rsid w:val="009F5063"/>
    <w:rsid w:val="00A031AE"/>
    <w:rsid w:val="00A03AB0"/>
    <w:rsid w:val="00A1170A"/>
    <w:rsid w:val="00A11912"/>
    <w:rsid w:val="00A123D5"/>
    <w:rsid w:val="00A1294F"/>
    <w:rsid w:val="00A13BE4"/>
    <w:rsid w:val="00A140A5"/>
    <w:rsid w:val="00A35949"/>
    <w:rsid w:val="00A41358"/>
    <w:rsid w:val="00A50656"/>
    <w:rsid w:val="00A604DF"/>
    <w:rsid w:val="00A63874"/>
    <w:rsid w:val="00A64A04"/>
    <w:rsid w:val="00A6592C"/>
    <w:rsid w:val="00A65B91"/>
    <w:rsid w:val="00A66411"/>
    <w:rsid w:val="00A673FA"/>
    <w:rsid w:val="00A74E20"/>
    <w:rsid w:val="00A822CF"/>
    <w:rsid w:val="00A83C9E"/>
    <w:rsid w:val="00A84628"/>
    <w:rsid w:val="00A92CF4"/>
    <w:rsid w:val="00A9414F"/>
    <w:rsid w:val="00AA04D9"/>
    <w:rsid w:val="00AC16B0"/>
    <w:rsid w:val="00AC61E3"/>
    <w:rsid w:val="00AC781A"/>
    <w:rsid w:val="00AF1D6C"/>
    <w:rsid w:val="00B22E97"/>
    <w:rsid w:val="00B35C66"/>
    <w:rsid w:val="00B434E8"/>
    <w:rsid w:val="00B442DF"/>
    <w:rsid w:val="00B612E7"/>
    <w:rsid w:val="00B62AA2"/>
    <w:rsid w:val="00B63215"/>
    <w:rsid w:val="00B67C41"/>
    <w:rsid w:val="00B76793"/>
    <w:rsid w:val="00B771EB"/>
    <w:rsid w:val="00B82319"/>
    <w:rsid w:val="00B82E76"/>
    <w:rsid w:val="00B83416"/>
    <w:rsid w:val="00B85347"/>
    <w:rsid w:val="00B87E05"/>
    <w:rsid w:val="00B975A1"/>
    <w:rsid w:val="00BB0CE6"/>
    <w:rsid w:val="00BB0EF7"/>
    <w:rsid w:val="00BB11D4"/>
    <w:rsid w:val="00BB33C7"/>
    <w:rsid w:val="00BC77CC"/>
    <w:rsid w:val="00BD487F"/>
    <w:rsid w:val="00BF12B2"/>
    <w:rsid w:val="00BF6757"/>
    <w:rsid w:val="00C01CF7"/>
    <w:rsid w:val="00C1403D"/>
    <w:rsid w:val="00C1736E"/>
    <w:rsid w:val="00C20075"/>
    <w:rsid w:val="00C25822"/>
    <w:rsid w:val="00C27470"/>
    <w:rsid w:val="00C347B3"/>
    <w:rsid w:val="00C36E42"/>
    <w:rsid w:val="00C37374"/>
    <w:rsid w:val="00C374A6"/>
    <w:rsid w:val="00C45A9A"/>
    <w:rsid w:val="00C477AB"/>
    <w:rsid w:val="00C56692"/>
    <w:rsid w:val="00C641D3"/>
    <w:rsid w:val="00C6503D"/>
    <w:rsid w:val="00C66C67"/>
    <w:rsid w:val="00C9292F"/>
    <w:rsid w:val="00C95686"/>
    <w:rsid w:val="00C95E49"/>
    <w:rsid w:val="00CA2572"/>
    <w:rsid w:val="00CB014C"/>
    <w:rsid w:val="00CB4228"/>
    <w:rsid w:val="00CB70E6"/>
    <w:rsid w:val="00CC32C8"/>
    <w:rsid w:val="00CC7B06"/>
    <w:rsid w:val="00CD6D6A"/>
    <w:rsid w:val="00CE0F98"/>
    <w:rsid w:val="00CE215F"/>
    <w:rsid w:val="00CE222A"/>
    <w:rsid w:val="00D032D5"/>
    <w:rsid w:val="00D1704B"/>
    <w:rsid w:val="00D337FD"/>
    <w:rsid w:val="00D37E25"/>
    <w:rsid w:val="00D5055E"/>
    <w:rsid w:val="00D53355"/>
    <w:rsid w:val="00D5561F"/>
    <w:rsid w:val="00D7726F"/>
    <w:rsid w:val="00DA7780"/>
    <w:rsid w:val="00DB2FF2"/>
    <w:rsid w:val="00DB4657"/>
    <w:rsid w:val="00DB5581"/>
    <w:rsid w:val="00DB6088"/>
    <w:rsid w:val="00DB6A82"/>
    <w:rsid w:val="00DD76FA"/>
    <w:rsid w:val="00DE1C62"/>
    <w:rsid w:val="00DE35FB"/>
    <w:rsid w:val="00DE5BCE"/>
    <w:rsid w:val="00DF079E"/>
    <w:rsid w:val="00DF1137"/>
    <w:rsid w:val="00DF14E2"/>
    <w:rsid w:val="00DF18D4"/>
    <w:rsid w:val="00DF7798"/>
    <w:rsid w:val="00E13BC0"/>
    <w:rsid w:val="00E20715"/>
    <w:rsid w:val="00E20B9C"/>
    <w:rsid w:val="00E2100B"/>
    <w:rsid w:val="00E229CC"/>
    <w:rsid w:val="00E235CF"/>
    <w:rsid w:val="00E32FCE"/>
    <w:rsid w:val="00E4072E"/>
    <w:rsid w:val="00E46271"/>
    <w:rsid w:val="00E56B60"/>
    <w:rsid w:val="00E60397"/>
    <w:rsid w:val="00E65702"/>
    <w:rsid w:val="00E85C6E"/>
    <w:rsid w:val="00E9067B"/>
    <w:rsid w:val="00E9195F"/>
    <w:rsid w:val="00E958E4"/>
    <w:rsid w:val="00E96B1B"/>
    <w:rsid w:val="00EA03DC"/>
    <w:rsid w:val="00EA27E5"/>
    <w:rsid w:val="00EA3426"/>
    <w:rsid w:val="00EA433E"/>
    <w:rsid w:val="00EA57A8"/>
    <w:rsid w:val="00EB17F7"/>
    <w:rsid w:val="00EB289E"/>
    <w:rsid w:val="00EB527A"/>
    <w:rsid w:val="00EC1306"/>
    <w:rsid w:val="00EC29D7"/>
    <w:rsid w:val="00EC7240"/>
    <w:rsid w:val="00ED42B1"/>
    <w:rsid w:val="00ED4FCC"/>
    <w:rsid w:val="00EF3B55"/>
    <w:rsid w:val="00F010BD"/>
    <w:rsid w:val="00F0263B"/>
    <w:rsid w:val="00F07762"/>
    <w:rsid w:val="00F124AE"/>
    <w:rsid w:val="00F14A75"/>
    <w:rsid w:val="00F15CAE"/>
    <w:rsid w:val="00F17FE1"/>
    <w:rsid w:val="00F20F72"/>
    <w:rsid w:val="00F2355D"/>
    <w:rsid w:val="00F2617A"/>
    <w:rsid w:val="00F42E3A"/>
    <w:rsid w:val="00F44487"/>
    <w:rsid w:val="00F523FA"/>
    <w:rsid w:val="00F57955"/>
    <w:rsid w:val="00F74669"/>
    <w:rsid w:val="00F74C28"/>
    <w:rsid w:val="00F75EB7"/>
    <w:rsid w:val="00F76A5C"/>
    <w:rsid w:val="00F82FD1"/>
    <w:rsid w:val="00F95BE5"/>
    <w:rsid w:val="00FA1815"/>
    <w:rsid w:val="00FB36DA"/>
    <w:rsid w:val="00FB53FF"/>
    <w:rsid w:val="00FB5786"/>
    <w:rsid w:val="00FC52BE"/>
    <w:rsid w:val="00FE1C22"/>
    <w:rsid w:val="01DB0283"/>
    <w:rsid w:val="02777BFD"/>
    <w:rsid w:val="032348AB"/>
    <w:rsid w:val="03465822"/>
    <w:rsid w:val="03741B99"/>
    <w:rsid w:val="03C055D4"/>
    <w:rsid w:val="041D1F18"/>
    <w:rsid w:val="05422780"/>
    <w:rsid w:val="05CD3FD8"/>
    <w:rsid w:val="060707DD"/>
    <w:rsid w:val="0627193B"/>
    <w:rsid w:val="067F17E4"/>
    <w:rsid w:val="06B23D5E"/>
    <w:rsid w:val="06BE596A"/>
    <w:rsid w:val="072D4437"/>
    <w:rsid w:val="07727EEC"/>
    <w:rsid w:val="07DE559F"/>
    <w:rsid w:val="082D0D5E"/>
    <w:rsid w:val="084A43DC"/>
    <w:rsid w:val="08646365"/>
    <w:rsid w:val="08F5269D"/>
    <w:rsid w:val="09615163"/>
    <w:rsid w:val="0975770E"/>
    <w:rsid w:val="09F233A9"/>
    <w:rsid w:val="0A204648"/>
    <w:rsid w:val="0B117F18"/>
    <w:rsid w:val="0B6A2ADF"/>
    <w:rsid w:val="0B7A14D5"/>
    <w:rsid w:val="0BDE3B0E"/>
    <w:rsid w:val="0BE0521C"/>
    <w:rsid w:val="0BF7590B"/>
    <w:rsid w:val="0C002F61"/>
    <w:rsid w:val="0C34445D"/>
    <w:rsid w:val="0C5019B2"/>
    <w:rsid w:val="0CD8663C"/>
    <w:rsid w:val="0CF04ED1"/>
    <w:rsid w:val="0E0332A9"/>
    <w:rsid w:val="0E125E9A"/>
    <w:rsid w:val="0E8007D6"/>
    <w:rsid w:val="0F237C47"/>
    <w:rsid w:val="0F9B19B2"/>
    <w:rsid w:val="0FB26AE6"/>
    <w:rsid w:val="0FBE01A5"/>
    <w:rsid w:val="10591EE8"/>
    <w:rsid w:val="1066305F"/>
    <w:rsid w:val="11627CCB"/>
    <w:rsid w:val="11686414"/>
    <w:rsid w:val="1173669F"/>
    <w:rsid w:val="11BE75E2"/>
    <w:rsid w:val="11EE4584"/>
    <w:rsid w:val="12055F55"/>
    <w:rsid w:val="120C7C36"/>
    <w:rsid w:val="128D4A11"/>
    <w:rsid w:val="13477D30"/>
    <w:rsid w:val="13911466"/>
    <w:rsid w:val="13A7611E"/>
    <w:rsid w:val="14257FA7"/>
    <w:rsid w:val="145C3C6A"/>
    <w:rsid w:val="151C4B73"/>
    <w:rsid w:val="16075904"/>
    <w:rsid w:val="16317C47"/>
    <w:rsid w:val="17241C75"/>
    <w:rsid w:val="17794C1F"/>
    <w:rsid w:val="179E35EE"/>
    <w:rsid w:val="179F4858"/>
    <w:rsid w:val="17C8769A"/>
    <w:rsid w:val="17DF3BC6"/>
    <w:rsid w:val="17F40566"/>
    <w:rsid w:val="18AD1450"/>
    <w:rsid w:val="18DC4BFC"/>
    <w:rsid w:val="19107B87"/>
    <w:rsid w:val="192C10D8"/>
    <w:rsid w:val="19B8756E"/>
    <w:rsid w:val="1A1237AF"/>
    <w:rsid w:val="1A683A18"/>
    <w:rsid w:val="1AC75042"/>
    <w:rsid w:val="1B006F34"/>
    <w:rsid w:val="1B1C0EEA"/>
    <w:rsid w:val="1C3E225C"/>
    <w:rsid w:val="1DB250B7"/>
    <w:rsid w:val="1DF364B5"/>
    <w:rsid w:val="1DF4076D"/>
    <w:rsid w:val="1DF83C7D"/>
    <w:rsid w:val="1EEF00B9"/>
    <w:rsid w:val="1F6317DE"/>
    <w:rsid w:val="1F925C1F"/>
    <w:rsid w:val="20095B81"/>
    <w:rsid w:val="202B40FA"/>
    <w:rsid w:val="2039643C"/>
    <w:rsid w:val="209B6E28"/>
    <w:rsid w:val="20A1779F"/>
    <w:rsid w:val="20AF386E"/>
    <w:rsid w:val="20B23337"/>
    <w:rsid w:val="217E06FB"/>
    <w:rsid w:val="21935C7E"/>
    <w:rsid w:val="21AD4F92"/>
    <w:rsid w:val="21CA2570"/>
    <w:rsid w:val="22CB3C4E"/>
    <w:rsid w:val="23202FA6"/>
    <w:rsid w:val="2323220F"/>
    <w:rsid w:val="23616034"/>
    <w:rsid w:val="237F406B"/>
    <w:rsid w:val="23A72FCE"/>
    <w:rsid w:val="2438471B"/>
    <w:rsid w:val="247B3126"/>
    <w:rsid w:val="249441E7"/>
    <w:rsid w:val="25B5449B"/>
    <w:rsid w:val="25C655DD"/>
    <w:rsid w:val="26643BFE"/>
    <w:rsid w:val="2671562B"/>
    <w:rsid w:val="26FC021C"/>
    <w:rsid w:val="273E3781"/>
    <w:rsid w:val="27BF32BE"/>
    <w:rsid w:val="27F3161F"/>
    <w:rsid w:val="288B6D4C"/>
    <w:rsid w:val="28E057E5"/>
    <w:rsid w:val="28F1218A"/>
    <w:rsid w:val="290401B8"/>
    <w:rsid w:val="29AA1DB7"/>
    <w:rsid w:val="29AF6F4C"/>
    <w:rsid w:val="2A2E715A"/>
    <w:rsid w:val="2A46021F"/>
    <w:rsid w:val="2A497822"/>
    <w:rsid w:val="2AC47B16"/>
    <w:rsid w:val="2AF61E5D"/>
    <w:rsid w:val="2B7E52A9"/>
    <w:rsid w:val="2BB56D0E"/>
    <w:rsid w:val="2BF37A45"/>
    <w:rsid w:val="2C020634"/>
    <w:rsid w:val="2C214055"/>
    <w:rsid w:val="2C780D13"/>
    <w:rsid w:val="2CA10EC7"/>
    <w:rsid w:val="2D4E3C7F"/>
    <w:rsid w:val="2D5203DB"/>
    <w:rsid w:val="2D55517C"/>
    <w:rsid w:val="2E245E8E"/>
    <w:rsid w:val="2E8B728F"/>
    <w:rsid w:val="2ED3590C"/>
    <w:rsid w:val="2ED77B06"/>
    <w:rsid w:val="2FF41798"/>
    <w:rsid w:val="30625475"/>
    <w:rsid w:val="30A804F4"/>
    <w:rsid w:val="30B71C36"/>
    <w:rsid w:val="316136A3"/>
    <w:rsid w:val="31895970"/>
    <w:rsid w:val="31B95F69"/>
    <w:rsid w:val="31C25049"/>
    <w:rsid w:val="32BD4817"/>
    <w:rsid w:val="32C54D96"/>
    <w:rsid w:val="32C851B1"/>
    <w:rsid w:val="333A41AC"/>
    <w:rsid w:val="334375E4"/>
    <w:rsid w:val="336E0939"/>
    <w:rsid w:val="340C2885"/>
    <w:rsid w:val="341600F9"/>
    <w:rsid w:val="34343B09"/>
    <w:rsid w:val="347F69DC"/>
    <w:rsid w:val="349C7D43"/>
    <w:rsid w:val="34A51AF9"/>
    <w:rsid w:val="34A7043B"/>
    <w:rsid w:val="35791238"/>
    <w:rsid w:val="357F49C9"/>
    <w:rsid w:val="358160C2"/>
    <w:rsid w:val="35CD1307"/>
    <w:rsid w:val="35FB2226"/>
    <w:rsid w:val="364666FD"/>
    <w:rsid w:val="36722E5C"/>
    <w:rsid w:val="369F7680"/>
    <w:rsid w:val="37653C28"/>
    <w:rsid w:val="37830C3B"/>
    <w:rsid w:val="37E63AB5"/>
    <w:rsid w:val="381A773A"/>
    <w:rsid w:val="39507E77"/>
    <w:rsid w:val="39CB7668"/>
    <w:rsid w:val="3A00765E"/>
    <w:rsid w:val="3A2171B1"/>
    <w:rsid w:val="3A891740"/>
    <w:rsid w:val="3B00481A"/>
    <w:rsid w:val="3B3F2D0A"/>
    <w:rsid w:val="3B6F4C85"/>
    <w:rsid w:val="3B8012A0"/>
    <w:rsid w:val="3B88771A"/>
    <w:rsid w:val="3BED708C"/>
    <w:rsid w:val="3BEF0EBF"/>
    <w:rsid w:val="3C0670D3"/>
    <w:rsid w:val="3C1B789E"/>
    <w:rsid w:val="3C2D0C90"/>
    <w:rsid w:val="3CCC507A"/>
    <w:rsid w:val="3CCF1F21"/>
    <w:rsid w:val="3CFE6CCE"/>
    <w:rsid w:val="3D0120D8"/>
    <w:rsid w:val="3D10657D"/>
    <w:rsid w:val="3D394BF1"/>
    <w:rsid w:val="3D567E34"/>
    <w:rsid w:val="3D6B3957"/>
    <w:rsid w:val="3E4D1237"/>
    <w:rsid w:val="3E9747B5"/>
    <w:rsid w:val="3EF43C23"/>
    <w:rsid w:val="3F2676D9"/>
    <w:rsid w:val="3F5F7351"/>
    <w:rsid w:val="4039318F"/>
    <w:rsid w:val="41886A2A"/>
    <w:rsid w:val="41D91034"/>
    <w:rsid w:val="4208548C"/>
    <w:rsid w:val="425B53A7"/>
    <w:rsid w:val="42BC698B"/>
    <w:rsid w:val="42E04282"/>
    <w:rsid w:val="43A559D8"/>
    <w:rsid w:val="44022AC4"/>
    <w:rsid w:val="448E0F5F"/>
    <w:rsid w:val="452D3B07"/>
    <w:rsid w:val="456A5FCD"/>
    <w:rsid w:val="456C19C4"/>
    <w:rsid w:val="458F17EC"/>
    <w:rsid w:val="45E23D27"/>
    <w:rsid w:val="463B22BD"/>
    <w:rsid w:val="463C2446"/>
    <w:rsid w:val="46681526"/>
    <w:rsid w:val="46990B17"/>
    <w:rsid w:val="471843AC"/>
    <w:rsid w:val="47185E2C"/>
    <w:rsid w:val="47C3656A"/>
    <w:rsid w:val="483D15E1"/>
    <w:rsid w:val="48ED6392"/>
    <w:rsid w:val="495661C3"/>
    <w:rsid w:val="495F42EA"/>
    <w:rsid w:val="49620B7C"/>
    <w:rsid w:val="497B2D98"/>
    <w:rsid w:val="49AA4153"/>
    <w:rsid w:val="49E664DF"/>
    <w:rsid w:val="4A261CD7"/>
    <w:rsid w:val="4A6D507F"/>
    <w:rsid w:val="4A911F9B"/>
    <w:rsid w:val="4AFA5187"/>
    <w:rsid w:val="4BC34CB2"/>
    <w:rsid w:val="4C7E32ED"/>
    <w:rsid w:val="4D9047DF"/>
    <w:rsid w:val="4DE24F9C"/>
    <w:rsid w:val="4E3229A2"/>
    <w:rsid w:val="4E641B2E"/>
    <w:rsid w:val="4F2E29BF"/>
    <w:rsid w:val="4FAE7D69"/>
    <w:rsid w:val="4FBA6CD7"/>
    <w:rsid w:val="507B0716"/>
    <w:rsid w:val="50AD57CE"/>
    <w:rsid w:val="50B27620"/>
    <w:rsid w:val="50E07518"/>
    <w:rsid w:val="511F04A5"/>
    <w:rsid w:val="51242B86"/>
    <w:rsid w:val="51511167"/>
    <w:rsid w:val="51A30702"/>
    <w:rsid w:val="51ED1E8E"/>
    <w:rsid w:val="523303C9"/>
    <w:rsid w:val="524E534A"/>
    <w:rsid w:val="52BD6DD9"/>
    <w:rsid w:val="52D05D21"/>
    <w:rsid w:val="52DF71EF"/>
    <w:rsid w:val="5313758B"/>
    <w:rsid w:val="538A03E0"/>
    <w:rsid w:val="538C69C3"/>
    <w:rsid w:val="53AD2437"/>
    <w:rsid w:val="53B65679"/>
    <w:rsid w:val="53E61ABA"/>
    <w:rsid w:val="541F10CB"/>
    <w:rsid w:val="54330A77"/>
    <w:rsid w:val="54380719"/>
    <w:rsid w:val="54A051B8"/>
    <w:rsid w:val="555D21D7"/>
    <w:rsid w:val="556F58FB"/>
    <w:rsid w:val="558A7190"/>
    <w:rsid w:val="55BF0815"/>
    <w:rsid w:val="55C7008D"/>
    <w:rsid w:val="562E2DB4"/>
    <w:rsid w:val="57AB660A"/>
    <w:rsid w:val="580863D8"/>
    <w:rsid w:val="58254B7B"/>
    <w:rsid w:val="58646800"/>
    <w:rsid w:val="58871392"/>
    <w:rsid w:val="589F0AD8"/>
    <w:rsid w:val="595B3551"/>
    <w:rsid w:val="59627412"/>
    <w:rsid w:val="59BA68A2"/>
    <w:rsid w:val="5ACC6B10"/>
    <w:rsid w:val="5ACF6AB5"/>
    <w:rsid w:val="5AF076C2"/>
    <w:rsid w:val="5B8422F7"/>
    <w:rsid w:val="5C3F3FFB"/>
    <w:rsid w:val="5C597819"/>
    <w:rsid w:val="5D5A3B31"/>
    <w:rsid w:val="5DAD3A79"/>
    <w:rsid w:val="5DCD1758"/>
    <w:rsid w:val="5E0A2849"/>
    <w:rsid w:val="5E574FA8"/>
    <w:rsid w:val="5E9465B6"/>
    <w:rsid w:val="5F08128D"/>
    <w:rsid w:val="5F08322C"/>
    <w:rsid w:val="5F3B6A32"/>
    <w:rsid w:val="5F873C50"/>
    <w:rsid w:val="5FC330A1"/>
    <w:rsid w:val="5FC53D74"/>
    <w:rsid w:val="6003409D"/>
    <w:rsid w:val="602101AB"/>
    <w:rsid w:val="60905B6C"/>
    <w:rsid w:val="60B15181"/>
    <w:rsid w:val="60BB37D8"/>
    <w:rsid w:val="60C8673E"/>
    <w:rsid w:val="61486A46"/>
    <w:rsid w:val="61F41DFF"/>
    <w:rsid w:val="623C4F9B"/>
    <w:rsid w:val="635D5B0E"/>
    <w:rsid w:val="63F60D77"/>
    <w:rsid w:val="640726C3"/>
    <w:rsid w:val="64687828"/>
    <w:rsid w:val="64AB1777"/>
    <w:rsid w:val="64B2391D"/>
    <w:rsid w:val="64B65680"/>
    <w:rsid w:val="65464803"/>
    <w:rsid w:val="65DC1B12"/>
    <w:rsid w:val="66745D68"/>
    <w:rsid w:val="671C384B"/>
    <w:rsid w:val="68015D6B"/>
    <w:rsid w:val="681D4A76"/>
    <w:rsid w:val="68594AF9"/>
    <w:rsid w:val="68955405"/>
    <w:rsid w:val="69266272"/>
    <w:rsid w:val="699D69A6"/>
    <w:rsid w:val="6A420C2A"/>
    <w:rsid w:val="6B476531"/>
    <w:rsid w:val="6B85733F"/>
    <w:rsid w:val="6BE96218"/>
    <w:rsid w:val="6BF95DFB"/>
    <w:rsid w:val="6C180259"/>
    <w:rsid w:val="6C2E30E4"/>
    <w:rsid w:val="6C79796F"/>
    <w:rsid w:val="6C9D5C8C"/>
    <w:rsid w:val="6CEB7CE9"/>
    <w:rsid w:val="6CF1733F"/>
    <w:rsid w:val="6D0D21EB"/>
    <w:rsid w:val="6D911044"/>
    <w:rsid w:val="6DAE4ED6"/>
    <w:rsid w:val="6DBE0F5A"/>
    <w:rsid w:val="6E097F2E"/>
    <w:rsid w:val="6EBC2C77"/>
    <w:rsid w:val="6EC854BE"/>
    <w:rsid w:val="6FD81D7F"/>
    <w:rsid w:val="6FFC2258"/>
    <w:rsid w:val="70BD04CD"/>
    <w:rsid w:val="711427DE"/>
    <w:rsid w:val="714E4514"/>
    <w:rsid w:val="717F11C6"/>
    <w:rsid w:val="71836296"/>
    <w:rsid w:val="720D1E5C"/>
    <w:rsid w:val="728104DD"/>
    <w:rsid w:val="739A40A9"/>
    <w:rsid w:val="73BB2A23"/>
    <w:rsid w:val="73DC038C"/>
    <w:rsid w:val="74360F69"/>
    <w:rsid w:val="74B35022"/>
    <w:rsid w:val="74C72569"/>
    <w:rsid w:val="74EB6AD9"/>
    <w:rsid w:val="74F01185"/>
    <w:rsid w:val="75137DDD"/>
    <w:rsid w:val="75386EA7"/>
    <w:rsid w:val="76040B5B"/>
    <w:rsid w:val="76B369B9"/>
    <w:rsid w:val="77002186"/>
    <w:rsid w:val="77466101"/>
    <w:rsid w:val="776215B2"/>
    <w:rsid w:val="784871AF"/>
    <w:rsid w:val="785A7E99"/>
    <w:rsid w:val="78827754"/>
    <w:rsid w:val="78D6242A"/>
    <w:rsid w:val="791D2E63"/>
    <w:rsid w:val="79A72BDF"/>
    <w:rsid w:val="79AE6EAC"/>
    <w:rsid w:val="79B20EA9"/>
    <w:rsid w:val="79B71311"/>
    <w:rsid w:val="79C06C32"/>
    <w:rsid w:val="79FC47FF"/>
    <w:rsid w:val="7A404A50"/>
    <w:rsid w:val="7A5527A1"/>
    <w:rsid w:val="7AF32215"/>
    <w:rsid w:val="7B2365E5"/>
    <w:rsid w:val="7B26441E"/>
    <w:rsid w:val="7B7517F2"/>
    <w:rsid w:val="7B771840"/>
    <w:rsid w:val="7BA646F8"/>
    <w:rsid w:val="7BE00DA4"/>
    <w:rsid w:val="7D0B583E"/>
    <w:rsid w:val="7D7A7DE3"/>
    <w:rsid w:val="7D8B6F20"/>
    <w:rsid w:val="7DAA29C3"/>
    <w:rsid w:val="7EB156A1"/>
    <w:rsid w:val="7EF70F9E"/>
    <w:rsid w:val="7F1F2CDA"/>
    <w:rsid w:val="7F2E620B"/>
    <w:rsid w:val="7F340489"/>
    <w:rsid w:val="7F5943CF"/>
    <w:rsid w:val="7F640B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4">
    <w:name w:val="heading 1"/>
    <w:basedOn w:val="1"/>
    <w:next w:val="1"/>
    <w:link w:val="35"/>
    <w:qFormat/>
    <w:uiPriority w:val="0"/>
    <w:pPr>
      <w:outlineLvl w:val="0"/>
    </w:pPr>
  </w:style>
  <w:style w:type="paragraph" w:styleId="5">
    <w:name w:val="heading 2"/>
    <w:basedOn w:val="1"/>
    <w:next w:val="1"/>
    <w:link w:val="38"/>
    <w:unhideWhenUsed/>
    <w:qFormat/>
    <w:uiPriority w:val="9"/>
    <w:pPr>
      <w:ind w:left="220" w:right="220" w:firstLine="602" w:firstLineChars="200"/>
      <w:outlineLvl w:val="1"/>
    </w:p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color w:val="FF0000"/>
      <w:sz w:val="20"/>
    </w:rPr>
  </w:style>
  <w:style w:type="paragraph" w:styleId="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6">
    <w:name w:val="Normal Indent"/>
    <w:basedOn w:val="1"/>
    <w:qFormat/>
    <w:uiPriority w:val="0"/>
    <w:pPr>
      <w:ind w:firstLine="420" w:firstLineChars="200"/>
    </w:pPr>
  </w:style>
  <w:style w:type="paragraph" w:styleId="7">
    <w:name w:val="Document Map"/>
    <w:basedOn w:val="1"/>
    <w:link w:val="43"/>
    <w:qFormat/>
    <w:uiPriority w:val="0"/>
    <w:pPr>
      <w:widowControl w:val="0"/>
      <w:adjustRightInd/>
      <w:snapToGrid/>
      <w:spacing w:after="0"/>
      <w:jc w:val="both"/>
    </w:pPr>
    <w:rPr>
      <w:rFonts w:ascii="宋体" w:hAnsi="Times New Roman" w:eastAsia="宋体" w:cs="Times New Roman"/>
      <w:kern w:val="2"/>
      <w:sz w:val="18"/>
      <w:szCs w:val="18"/>
    </w:rPr>
  </w:style>
  <w:style w:type="paragraph" w:styleId="8">
    <w:name w:val="annotation text"/>
    <w:basedOn w:val="1"/>
    <w:link w:val="33"/>
    <w:qFormat/>
    <w:uiPriority w:val="0"/>
    <w:rPr>
      <w:rFonts w:ascii="Times New Roman" w:hAnsi="Times New Roman"/>
    </w:rPr>
  </w:style>
  <w:style w:type="paragraph" w:styleId="9">
    <w:name w:val="Body Text Indent"/>
    <w:basedOn w:val="1"/>
    <w:link w:val="49"/>
    <w:unhideWhenUsed/>
    <w:qFormat/>
    <w:uiPriority w:val="0"/>
    <w:pPr>
      <w:spacing w:after="120"/>
      <w:ind w:left="420" w:leftChars="200"/>
    </w:pPr>
  </w:style>
  <w:style w:type="paragraph" w:styleId="10">
    <w:name w:val="Plain Text"/>
    <w:basedOn w:val="1"/>
    <w:qFormat/>
    <w:uiPriority w:val="0"/>
    <w:rPr>
      <w:rFonts w:ascii="宋体" w:hAnsi="Courier New"/>
      <w:sz w:val="20"/>
      <w:szCs w:val="21"/>
    </w:rPr>
  </w:style>
  <w:style w:type="paragraph" w:styleId="11">
    <w:name w:val="Body Text Indent 2"/>
    <w:basedOn w:val="1"/>
    <w:link w:val="37"/>
    <w:qFormat/>
    <w:uiPriority w:val="0"/>
    <w:pPr>
      <w:spacing w:after="120" w:line="480" w:lineRule="auto"/>
      <w:ind w:left="420" w:leftChars="200"/>
    </w:pPr>
  </w:style>
  <w:style w:type="paragraph" w:styleId="12">
    <w:name w:val="Balloon Text"/>
    <w:basedOn w:val="1"/>
    <w:link w:val="32"/>
    <w:qFormat/>
    <w:uiPriority w:val="0"/>
    <w:pPr>
      <w:spacing w:after="0"/>
    </w:pPr>
    <w:rPr>
      <w:sz w:val="18"/>
      <w:szCs w:val="18"/>
    </w:rPr>
  </w:style>
  <w:style w:type="paragraph" w:styleId="13">
    <w:name w:val="footer"/>
    <w:basedOn w:val="1"/>
    <w:link w:val="47"/>
    <w:unhideWhenUsed/>
    <w:qFormat/>
    <w:uiPriority w:val="99"/>
    <w:pPr>
      <w:tabs>
        <w:tab w:val="center" w:pos="4153"/>
        <w:tab w:val="right" w:pos="8306"/>
      </w:tabs>
    </w:pPr>
    <w:rPr>
      <w:sz w:val="18"/>
      <w:szCs w:val="18"/>
    </w:rPr>
  </w:style>
  <w:style w:type="paragraph" w:styleId="14">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39"/>
  </w:style>
  <w:style w:type="paragraph" w:styleId="16">
    <w:name w:val="Body Text Indent 3"/>
    <w:basedOn w:val="1"/>
    <w:link w:val="36"/>
    <w:qFormat/>
    <w:uiPriority w:val="0"/>
    <w:pPr>
      <w:spacing w:after="120"/>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0"/>
    <w:pPr>
      <w:spacing w:beforeAutospacing="1" w:after="0" w:afterAutospacing="1"/>
      <w:ind w:left="880" w:leftChars="100" w:right="100" w:rightChars="100"/>
    </w:pPr>
    <w:rPr>
      <w:rFonts w:eastAsia="仿宋_GB2312" w:cs="Times New Roman"/>
      <w:b/>
      <w:sz w:val="30"/>
    </w:rPr>
  </w:style>
  <w:style w:type="paragraph" w:styleId="19">
    <w:name w:val="Title"/>
    <w:basedOn w:val="1"/>
    <w:next w:val="1"/>
    <w:qFormat/>
    <w:uiPriority w:val="10"/>
    <w:pPr>
      <w:spacing w:before="240" w:after="60"/>
      <w:jc w:val="center"/>
      <w:outlineLvl w:val="0"/>
    </w:pPr>
    <w:rPr>
      <w:rFonts w:eastAsia="仿宋_GB2312" w:asciiTheme="majorHAnsi" w:hAnsiTheme="majorHAnsi" w:cstheme="majorBidi"/>
      <w:b/>
      <w:bCs/>
      <w:sz w:val="36"/>
      <w:szCs w:val="32"/>
    </w:rPr>
  </w:style>
  <w:style w:type="paragraph" w:styleId="20">
    <w:name w:val="annotation subject"/>
    <w:basedOn w:val="8"/>
    <w:next w:val="8"/>
    <w:link w:val="34"/>
    <w:qFormat/>
    <w:uiPriority w:val="0"/>
    <w:rPr>
      <w:rFonts w:ascii="Tahoma" w:hAnsi="Tahoma"/>
      <w:b/>
      <w:bCs/>
    </w:rPr>
  </w:style>
  <w:style w:type="paragraph" w:styleId="21">
    <w:name w:val="Body Text First Indent 2"/>
    <w:basedOn w:val="9"/>
    <w:link w:val="48"/>
    <w:qFormat/>
    <w:uiPriority w:val="0"/>
    <w:pPr>
      <w:adjustRightInd/>
      <w:ind w:firstLine="420" w:firstLineChars="200"/>
    </w:pPr>
    <w:rPr>
      <w:rFonts w:asciiTheme="minorHAnsi" w:hAnsiTheme="minorHAnsi" w:eastAsiaTheme="minorEastAsia"/>
      <w:kern w:val="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qFormat/>
    <w:uiPriority w:val="99"/>
    <w:rPr>
      <w:sz w:val="21"/>
      <w:szCs w:val="21"/>
    </w:rPr>
  </w:style>
  <w:style w:type="paragraph" w:customStyle="1" w:styleId="28">
    <w:name w:val="Default"/>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 w:type="paragraph" w:customStyle="1" w:styleId="29">
    <w:name w:val="Index8"/>
    <w:basedOn w:val="1"/>
    <w:next w:val="1"/>
    <w:qFormat/>
    <w:uiPriority w:val="0"/>
    <w:pPr>
      <w:widowControl w:val="0"/>
      <w:adjustRightInd/>
      <w:snapToGrid/>
      <w:spacing w:after="0" w:line="276" w:lineRule="auto"/>
      <w:jc w:val="both"/>
    </w:pPr>
    <w:rPr>
      <w:rFonts w:ascii="Times New Roman" w:hAnsi="Times New Roman" w:eastAsia="宋体" w:cs="Times New Roman"/>
      <w:color w:val="FF0000"/>
      <w:kern w:val="2"/>
      <w:sz w:val="21"/>
      <w:szCs w:val="21"/>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列出段落1"/>
    <w:basedOn w:val="1"/>
    <w:qFormat/>
    <w:uiPriority w:val="34"/>
    <w:pPr>
      <w:ind w:firstLine="420" w:firstLineChars="200"/>
    </w:pPr>
  </w:style>
  <w:style w:type="character" w:customStyle="1" w:styleId="32">
    <w:name w:val="批注框文本字符"/>
    <w:basedOn w:val="24"/>
    <w:link w:val="12"/>
    <w:qFormat/>
    <w:uiPriority w:val="0"/>
    <w:rPr>
      <w:rFonts w:ascii="Tahoma" w:hAnsi="Tahoma" w:eastAsia="微软雅黑"/>
      <w:sz w:val="18"/>
      <w:szCs w:val="18"/>
    </w:rPr>
  </w:style>
  <w:style w:type="character" w:customStyle="1" w:styleId="33">
    <w:name w:val="注释文本字符"/>
    <w:basedOn w:val="24"/>
    <w:link w:val="8"/>
    <w:qFormat/>
    <w:uiPriority w:val="0"/>
    <w:rPr>
      <w:rFonts w:ascii="Times New Roman" w:hAnsi="Times New Roman" w:eastAsia="微软雅黑"/>
      <w:sz w:val="22"/>
      <w:szCs w:val="22"/>
    </w:rPr>
  </w:style>
  <w:style w:type="character" w:customStyle="1" w:styleId="34">
    <w:name w:val="批注主题字符"/>
    <w:basedOn w:val="33"/>
    <w:link w:val="20"/>
    <w:qFormat/>
    <w:uiPriority w:val="0"/>
    <w:rPr>
      <w:rFonts w:ascii="Tahoma" w:hAnsi="Tahoma" w:eastAsia="微软雅黑"/>
      <w:b/>
      <w:bCs/>
      <w:sz w:val="22"/>
      <w:szCs w:val="22"/>
    </w:rPr>
  </w:style>
  <w:style w:type="character" w:customStyle="1" w:styleId="35">
    <w:name w:val="标题 1字符"/>
    <w:basedOn w:val="24"/>
    <w:link w:val="4"/>
    <w:qFormat/>
    <w:uiPriority w:val="0"/>
    <w:rPr>
      <w:rFonts w:ascii="Tahoma" w:hAnsi="Tahoma" w:eastAsia="仿宋_GB2312" w:cs="Times New Roman"/>
      <w:b/>
      <w:sz w:val="30"/>
      <w:szCs w:val="22"/>
    </w:rPr>
  </w:style>
  <w:style w:type="character" w:customStyle="1" w:styleId="36">
    <w:name w:val="正文文本缩进 3字符"/>
    <w:basedOn w:val="24"/>
    <w:link w:val="16"/>
    <w:qFormat/>
    <w:uiPriority w:val="0"/>
    <w:rPr>
      <w:rFonts w:ascii="Tahoma" w:hAnsi="Tahoma" w:eastAsia="微软雅黑"/>
      <w:sz w:val="16"/>
      <w:szCs w:val="16"/>
    </w:rPr>
  </w:style>
  <w:style w:type="character" w:customStyle="1" w:styleId="37">
    <w:name w:val="正文文本缩进 2字符"/>
    <w:basedOn w:val="24"/>
    <w:link w:val="11"/>
    <w:qFormat/>
    <w:uiPriority w:val="0"/>
    <w:rPr>
      <w:rFonts w:ascii="Tahoma" w:hAnsi="Tahoma" w:eastAsia="微软雅黑"/>
      <w:sz w:val="22"/>
      <w:szCs w:val="22"/>
    </w:rPr>
  </w:style>
  <w:style w:type="character" w:customStyle="1" w:styleId="38">
    <w:name w:val="标题 2字符"/>
    <w:basedOn w:val="24"/>
    <w:link w:val="5"/>
    <w:qFormat/>
    <w:uiPriority w:val="9"/>
    <w:rPr>
      <w:rFonts w:ascii="Tahoma" w:hAnsi="Tahoma" w:eastAsia="仿宋_GB2312" w:cs="Times New Roman"/>
      <w:b/>
      <w:sz w:val="30"/>
      <w:szCs w:val="22"/>
    </w:rPr>
  </w:style>
  <w:style w:type="paragraph" w:customStyle="1" w:styleId="39">
    <w:name w:val="修订1"/>
    <w:hidden/>
    <w:semiHidden/>
    <w:qFormat/>
    <w:uiPriority w:val="99"/>
    <w:rPr>
      <w:rFonts w:ascii="Tahoma" w:hAnsi="Tahoma" w:eastAsia="微软雅黑" w:cstheme="minorBidi"/>
      <w:sz w:val="22"/>
      <w:szCs w:val="22"/>
      <w:lang w:val="en-US" w:eastAsia="zh-CN" w:bidi="ar-SA"/>
    </w:rPr>
  </w:style>
  <w:style w:type="paragraph" w:customStyle="1" w:styleId="40">
    <w:name w:val="GW-正文"/>
    <w:basedOn w:val="1"/>
    <w:link w:val="41"/>
    <w:qFormat/>
    <w:uiPriority w:val="0"/>
    <w:pPr>
      <w:widowControl w:val="0"/>
      <w:adjustRightInd/>
      <w:snapToGrid/>
      <w:spacing w:after="0" w:line="360" w:lineRule="auto"/>
      <w:ind w:firstLine="200" w:firstLineChars="200"/>
      <w:jc w:val="both"/>
    </w:pPr>
    <w:rPr>
      <w:rFonts w:ascii="Calibri" w:hAnsi="Calibri" w:eastAsia="仿宋_GB2312" w:cs="Times New Roman"/>
      <w:kern w:val="2"/>
      <w:sz w:val="24"/>
      <w:szCs w:val="24"/>
    </w:rPr>
  </w:style>
  <w:style w:type="character" w:customStyle="1" w:styleId="41">
    <w:name w:val="GW-正文 Char"/>
    <w:link w:val="40"/>
    <w:qFormat/>
    <w:uiPriority w:val="0"/>
    <w:rPr>
      <w:rFonts w:ascii="Calibri" w:hAnsi="Calibri" w:eastAsia="仿宋_GB2312"/>
      <w:kern w:val="2"/>
      <w:sz w:val="24"/>
      <w:szCs w:val="24"/>
    </w:rPr>
  </w:style>
  <w:style w:type="paragraph" w:customStyle="1" w:styleId="42">
    <w:name w:val="列出段落2"/>
    <w:basedOn w:val="1"/>
    <w:qFormat/>
    <w:uiPriority w:val="99"/>
    <w:pPr>
      <w:ind w:firstLine="420" w:firstLineChars="200"/>
    </w:pPr>
  </w:style>
  <w:style w:type="character" w:customStyle="1" w:styleId="43">
    <w:name w:val="文档结构图 字符"/>
    <w:link w:val="7"/>
    <w:qFormat/>
    <w:uiPriority w:val="0"/>
    <w:rPr>
      <w:rFonts w:ascii="宋体"/>
      <w:kern w:val="2"/>
      <w:sz w:val="18"/>
      <w:szCs w:val="18"/>
    </w:rPr>
  </w:style>
  <w:style w:type="character" w:customStyle="1" w:styleId="44">
    <w:name w:val="文档结构图 Char1"/>
    <w:basedOn w:val="24"/>
    <w:qFormat/>
    <w:uiPriority w:val="0"/>
    <w:rPr>
      <w:rFonts w:ascii="Microsoft YaHei UI" w:hAnsi="Tahoma" w:eastAsia="Microsoft YaHei UI" w:cstheme="minorBidi"/>
      <w:sz w:val="18"/>
      <w:szCs w:val="18"/>
    </w:rPr>
  </w:style>
  <w:style w:type="paragraph" w:customStyle="1" w:styleId="45">
    <w:name w:val="Table Paragraph"/>
    <w:basedOn w:val="1"/>
    <w:qFormat/>
    <w:uiPriority w:val="1"/>
    <w:pPr>
      <w:widowControl w:val="0"/>
      <w:adjustRightInd/>
      <w:snapToGrid/>
      <w:spacing w:after="0"/>
    </w:pPr>
    <w:rPr>
      <w:rFonts w:ascii="Calibri" w:hAnsi="Calibri" w:eastAsia="宋体" w:cs="Times New Roman"/>
      <w:lang w:eastAsia="en-US"/>
    </w:rPr>
  </w:style>
  <w:style w:type="paragraph" w:customStyle="1" w:styleId="46">
    <w:name w:val="TOC 标题1"/>
    <w:basedOn w:val="4"/>
    <w:next w:val="1"/>
    <w:unhideWhenUsed/>
    <w:qFormat/>
    <w:uiPriority w:val="39"/>
    <w:pPr>
      <w:keepNext/>
      <w:keepLines/>
      <w:adjustRightInd/>
      <w:snapToGrid/>
      <w:spacing w:before="240" w:after="0" w:line="259" w:lineRule="auto"/>
      <w:outlineLvl w:val="9"/>
    </w:pPr>
    <w:rPr>
      <w:rFonts w:asciiTheme="majorHAnsi" w:hAnsiTheme="majorHAnsi" w:eastAsiaTheme="majorEastAsia" w:cstheme="majorBidi"/>
      <w:color w:val="2E75B6" w:themeColor="accent1" w:themeShade="BF"/>
      <w:sz w:val="32"/>
      <w:szCs w:val="32"/>
    </w:rPr>
  </w:style>
  <w:style w:type="character" w:customStyle="1" w:styleId="47">
    <w:name w:val="页脚字符"/>
    <w:basedOn w:val="24"/>
    <w:link w:val="13"/>
    <w:qFormat/>
    <w:uiPriority w:val="99"/>
    <w:rPr>
      <w:rFonts w:ascii="Tahoma" w:hAnsi="Tahoma" w:eastAsia="微软雅黑" w:cstheme="minorBidi"/>
      <w:sz w:val="18"/>
      <w:szCs w:val="18"/>
    </w:rPr>
  </w:style>
  <w:style w:type="character" w:customStyle="1" w:styleId="48">
    <w:name w:val="正文首行缩进 2字符"/>
    <w:basedOn w:val="49"/>
    <w:link w:val="21"/>
    <w:qFormat/>
    <w:uiPriority w:val="0"/>
    <w:rPr>
      <w:rFonts w:hint="default" w:ascii="??" w:hAnsi="??" w:eastAsia="??" w:cs="??"/>
      <w:kern w:val="2"/>
      <w:sz w:val="21"/>
      <w:szCs w:val="22"/>
    </w:rPr>
  </w:style>
  <w:style w:type="character" w:customStyle="1" w:styleId="49">
    <w:name w:val="正文文本缩进字符"/>
    <w:basedOn w:val="24"/>
    <w:link w:val="9"/>
    <w:qFormat/>
    <w:uiPriority w:val="0"/>
    <w:rPr>
      <w:rFonts w:hint="default" w:ascii="??" w:hAnsi="??" w:eastAsia="??" w:cs="??"/>
      <w:kern w:val="2"/>
      <w:sz w:val="21"/>
      <w:szCs w:val="22"/>
    </w:rPr>
  </w:style>
  <w:style w:type="paragraph" w:customStyle="1" w:styleId="50">
    <w:name w:val="正文文本缩进 2 Char Char"/>
    <w:basedOn w:val="1"/>
    <w:qFormat/>
    <w:uiPriority w:val="99"/>
    <w:pPr>
      <w:spacing w:line="480" w:lineRule="exact"/>
      <w:ind w:firstLine="560" w:firstLineChars="200"/>
    </w:pPr>
    <w:rPr>
      <w:rFonts w:cs="Times New Roman" w:asciiTheme="minorHAnsi" w:hAnsiTheme="minorHAnsi"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65E3-ECC2-0147-879F-70A67D62FEA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19</Pages>
  <Words>7040</Words>
  <Characters>7296</Characters>
  <Lines>60</Lines>
  <Paragraphs>16</Paragraphs>
  <TotalTime>17</TotalTime>
  <ScaleCrop>false</ScaleCrop>
  <LinksUpToDate>false</LinksUpToDate>
  <CharactersWithSpaces>7390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2022-02-27T09:03:00Z</dcterms:created>
  <dc:creator>徐驰</dc:creator>
  <cp:lastModifiedBy>ིིི</cp:lastModifiedBy>
  <cp:lastPrinted>2022-02-24T08:07:00Z</cp:lastPrinted>
  <dcterms:modified xsi:type="dcterms:W3CDTF">2022-10-18T06:32:07Z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AD17E4E30EC54F1E8A44CC24B7E7B6FD</vt:lpwstr>
  </property>
</Properties>
</file>