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eastAsia="方正小标宋简体"/>
          <w:b/>
          <w:kern w:val="2"/>
          <w:sz w:val="44"/>
          <w:szCs w:val="44"/>
        </w:rPr>
      </w:pPr>
    </w:p>
    <w:p>
      <w:pPr>
        <w:spacing w:line="500" w:lineRule="exact"/>
        <w:jc w:val="center"/>
        <w:rPr>
          <w:rFonts w:ascii="方正小标宋简体" w:hAnsi="黑体" w:eastAsia="方正小标宋简体" w:cs="黑体"/>
          <w:kern w:val="2"/>
          <w:sz w:val="44"/>
          <w:szCs w:val="44"/>
        </w:rPr>
      </w:pPr>
      <w:r>
        <w:rPr>
          <w:rFonts w:hint="eastAsia" w:ascii="方正小标宋简体" w:hAnsi="黑体" w:eastAsia="方正小标宋简体" w:cs="黑体"/>
          <w:kern w:val="2"/>
          <w:sz w:val="44"/>
          <w:szCs w:val="44"/>
        </w:rPr>
        <w:t>四川蜀道铁路运营管理集团有限责任公司</w:t>
      </w:r>
    </w:p>
    <w:p>
      <w:pPr>
        <w:spacing w:line="500" w:lineRule="exact"/>
        <w:jc w:val="center"/>
        <w:rPr>
          <w:rFonts w:ascii="方正小标宋简体" w:hAnsi="黑体" w:eastAsia="方正小标宋简体" w:cs="黑体"/>
          <w:kern w:val="2"/>
          <w:sz w:val="44"/>
          <w:szCs w:val="44"/>
        </w:rPr>
      </w:pPr>
      <w:r>
        <w:rPr>
          <w:rFonts w:hint="eastAsia" w:ascii="方正小标宋简体" w:hAnsi="黑体" w:eastAsia="方正小标宋简体" w:cs="黑体"/>
          <w:kern w:val="2"/>
          <w:sz w:val="44"/>
          <w:szCs w:val="44"/>
        </w:rPr>
        <w:t>2</w:t>
      </w:r>
      <w:r>
        <w:rPr>
          <w:rFonts w:ascii="方正小标宋简体" w:hAnsi="黑体" w:eastAsia="方正小标宋简体" w:cs="黑体"/>
          <w:kern w:val="2"/>
          <w:sz w:val="44"/>
          <w:szCs w:val="44"/>
        </w:rPr>
        <w:t>022年</w:t>
      </w:r>
      <w:r>
        <w:rPr>
          <w:rFonts w:hint="eastAsia" w:ascii="方正小标宋简体" w:hAnsi="黑体" w:eastAsia="方正小标宋简体" w:cs="黑体"/>
          <w:kern w:val="2"/>
          <w:sz w:val="44"/>
          <w:szCs w:val="44"/>
        </w:rPr>
        <w:t>税务顾问服务项目</w:t>
      </w:r>
    </w:p>
    <w:p>
      <w:pPr>
        <w:jc w:val="center"/>
        <w:rPr>
          <w:rFonts w:ascii="方正小标宋简体" w:hAnsi="黑体" w:eastAsia="方正小标宋简体" w:cs="黑体"/>
          <w:kern w:val="2"/>
          <w:sz w:val="44"/>
          <w:szCs w:val="44"/>
        </w:rPr>
      </w:pPr>
    </w:p>
    <w:p>
      <w:pPr>
        <w:jc w:val="center"/>
        <w:rPr>
          <w:rFonts w:ascii="方正小标宋简体" w:hAnsi="黑体" w:eastAsia="方正小标宋简体" w:cs="黑体"/>
          <w:sz w:val="84"/>
        </w:rPr>
      </w:pPr>
    </w:p>
    <w:p>
      <w:pPr>
        <w:pStyle w:val="21"/>
        <w:ind w:left="0" w:leftChars="0" w:firstLine="0" w:firstLineChars="0"/>
        <w:rPr>
          <w:rFonts w:ascii="方正小标宋简体" w:hAnsi="黑体" w:eastAsia="方正小标宋简体" w:cs="黑体"/>
        </w:rPr>
      </w:pPr>
    </w:p>
    <w:p>
      <w:pPr>
        <w:jc w:val="center"/>
        <w:rPr>
          <w:rFonts w:ascii="方正小标宋简体" w:hAnsi="黑体" w:eastAsia="方正小标宋简体" w:cs="黑体"/>
          <w:kern w:val="2"/>
          <w:sz w:val="84"/>
          <w:szCs w:val="84"/>
        </w:rPr>
      </w:pPr>
      <w:r>
        <w:rPr>
          <w:rFonts w:hint="eastAsia" w:ascii="方正小标宋简体" w:hAnsi="黑体" w:eastAsia="方正小标宋简体" w:cs="黑体"/>
          <w:kern w:val="2"/>
          <w:sz w:val="84"/>
          <w:szCs w:val="84"/>
        </w:rPr>
        <w:t>比 选 文 件</w:t>
      </w:r>
    </w:p>
    <w:p>
      <w:pPr>
        <w:pStyle w:val="21"/>
        <w:ind w:left="440" w:firstLine="440"/>
        <w:rPr>
          <w:rFonts w:ascii="方正小标宋简体" w:eastAsia="方正小标宋简体"/>
        </w:rPr>
      </w:pPr>
    </w:p>
    <w:p>
      <w:pPr>
        <w:jc w:val="center"/>
        <w:rPr>
          <w:rFonts w:ascii="方正小标宋简体" w:hAnsi="宋体" w:eastAsia="方正小标宋简体" w:cs="宋体"/>
          <w:sz w:val="84"/>
        </w:rPr>
      </w:pPr>
    </w:p>
    <w:p>
      <w:pPr>
        <w:pStyle w:val="21"/>
        <w:ind w:left="440" w:firstLine="440"/>
        <w:rPr>
          <w:rFonts w:ascii="方正小标宋简体" w:hAnsi="宋体" w:eastAsia="方正小标宋简体" w:cs="宋体"/>
        </w:rPr>
      </w:pPr>
    </w:p>
    <w:p>
      <w:pPr>
        <w:pStyle w:val="21"/>
        <w:ind w:left="440" w:firstLine="440"/>
        <w:rPr>
          <w:rFonts w:ascii="方正小标宋简体" w:hAnsi="宋体" w:eastAsia="方正小标宋简体" w:cs="宋体"/>
        </w:rPr>
      </w:pPr>
    </w:p>
    <w:p>
      <w:pPr>
        <w:rPr>
          <w:rFonts w:ascii="方正小标宋简体" w:hAnsi="宋体" w:eastAsia="方正小标宋简体" w:cs="宋体"/>
          <w:sz w:val="32"/>
          <w:szCs w:val="32"/>
        </w:rPr>
      </w:pPr>
    </w:p>
    <w:p>
      <w:pPr>
        <w:spacing w:line="500" w:lineRule="exact"/>
        <w:jc w:val="center"/>
        <w:rPr>
          <w:rFonts w:ascii="方正小标宋简体" w:eastAsia="方正小标宋简体"/>
          <w:kern w:val="2"/>
          <w:sz w:val="32"/>
          <w:szCs w:val="32"/>
        </w:rPr>
      </w:pPr>
      <w:r>
        <w:rPr>
          <w:rFonts w:hint="eastAsia" w:ascii="方正小标宋简体" w:eastAsia="方正小标宋简体"/>
          <w:kern w:val="2"/>
          <w:sz w:val="32"/>
          <w:szCs w:val="32"/>
        </w:rPr>
        <w:t>比选人:</w:t>
      </w:r>
      <w:r>
        <w:rPr>
          <w:rFonts w:hint="eastAsia"/>
        </w:rPr>
        <w:t xml:space="preserve"> </w:t>
      </w:r>
      <w:r>
        <w:rPr>
          <w:rFonts w:hint="eastAsia" w:ascii="方正小标宋简体" w:eastAsia="方正小标宋简体"/>
          <w:kern w:val="2"/>
          <w:sz w:val="32"/>
          <w:szCs w:val="32"/>
        </w:rPr>
        <w:t>四川蜀道铁路运营管理集团有限责任公司</w:t>
      </w:r>
    </w:p>
    <w:p>
      <w:pPr>
        <w:autoSpaceDE w:val="0"/>
        <w:autoSpaceDN w:val="0"/>
        <w:spacing w:line="300" w:lineRule="exact"/>
        <w:jc w:val="center"/>
        <w:rPr>
          <w:rFonts w:ascii="方正小标宋简体" w:hAnsi="黑体" w:eastAsia="方正小标宋简体" w:cs="黑体"/>
          <w:sz w:val="40"/>
          <w:szCs w:val="40"/>
        </w:rPr>
      </w:pPr>
    </w:p>
    <w:p>
      <w:pPr>
        <w:autoSpaceDE w:val="0"/>
        <w:autoSpaceDN w:val="0"/>
        <w:jc w:val="center"/>
        <w:rPr>
          <w:rFonts w:ascii="方正小标宋简体" w:hAnsi="黑体" w:eastAsia="方正小标宋简体" w:cs="黑体"/>
          <w:kern w:val="2"/>
          <w:sz w:val="32"/>
          <w:szCs w:val="32"/>
        </w:rPr>
      </w:pPr>
      <w:r>
        <w:rPr>
          <w:rFonts w:hint="eastAsia" w:ascii="方正小标宋简体" w:hAnsi="黑体" w:eastAsia="方正小标宋简体" w:cs="黑体"/>
          <w:kern w:val="2"/>
          <w:sz w:val="32"/>
          <w:szCs w:val="32"/>
        </w:rPr>
        <w:t>202</w:t>
      </w:r>
      <w:r>
        <w:rPr>
          <w:rFonts w:ascii="方正小标宋简体" w:hAnsi="黑体" w:eastAsia="方正小标宋简体" w:cs="黑体"/>
          <w:kern w:val="2"/>
          <w:sz w:val="32"/>
          <w:szCs w:val="32"/>
        </w:rPr>
        <w:t>2</w:t>
      </w:r>
      <w:r>
        <w:rPr>
          <w:rFonts w:hint="eastAsia" w:ascii="方正小标宋简体" w:hAnsi="黑体" w:eastAsia="方正小标宋简体" w:cs="黑体"/>
          <w:kern w:val="2"/>
          <w:sz w:val="32"/>
          <w:szCs w:val="32"/>
        </w:rPr>
        <w:t>年</w:t>
      </w:r>
      <w:r>
        <w:rPr>
          <w:rFonts w:ascii="方正小标宋简体" w:hAnsi="黑体" w:eastAsia="方正小标宋简体" w:cs="黑体"/>
          <w:kern w:val="2"/>
          <w:sz w:val="32"/>
          <w:szCs w:val="32"/>
        </w:rPr>
        <w:t>8</w:t>
      </w:r>
      <w:r>
        <w:rPr>
          <w:rFonts w:hint="eastAsia" w:ascii="方正小标宋简体" w:hAnsi="黑体" w:eastAsia="方正小标宋简体" w:cs="黑体"/>
          <w:kern w:val="2"/>
          <w:sz w:val="32"/>
          <w:szCs w:val="32"/>
        </w:rPr>
        <w:t>月 成都</w:t>
      </w:r>
    </w:p>
    <w:p>
      <w:pPr>
        <w:spacing w:line="360" w:lineRule="auto"/>
        <w:jc w:val="center"/>
        <w:outlineLvl w:val="0"/>
        <w:rPr>
          <w:rFonts w:ascii="宋体" w:hAnsi="宋体" w:cs="宋体"/>
          <w:b/>
          <w:sz w:val="44"/>
          <w:szCs w:val="44"/>
          <w:highlight w:val="yellow"/>
        </w:rPr>
        <w:sectPr>
          <w:footerReference r:id="rId3" w:type="first"/>
          <w:pgSz w:w="11906" w:h="16838"/>
          <w:pgMar w:top="2098" w:right="1474" w:bottom="1984" w:left="1587" w:header="851" w:footer="992" w:gutter="0"/>
          <w:pgNumType w:fmt="numberInDash"/>
          <w:cols w:space="720" w:num="1"/>
          <w:rtlGutter w:val="0"/>
          <w:docGrid w:linePitch="312" w:charSpace="0"/>
        </w:sectPr>
      </w:pPr>
    </w:p>
    <w:p>
      <w:pPr>
        <w:pStyle w:val="21"/>
        <w:ind w:left="440" w:firstLine="440"/>
      </w:pPr>
      <w:bookmarkStart w:id="0" w:name="_Toc25051_WPSOffice_Type1"/>
    </w:p>
    <w:sdt>
      <w:sdtPr>
        <w:rPr>
          <w:rFonts w:ascii="Tahoma" w:hAnsi="Tahoma" w:eastAsia="微软雅黑" w:cstheme="minorBidi"/>
          <w:color w:val="auto"/>
          <w:sz w:val="22"/>
          <w:szCs w:val="22"/>
          <w:lang w:val="zh-CN"/>
        </w:rPr>
        <w:id w:val="1878354199"/>
      </w:sdtPr>
      <w:sdtEndPr>
        <w:rPr>
          <w:rFonts w:ascii="Tahoma" w:hAnsi="Tahoma" w:eastAsia="微软雅黑" w:cstheme="minorBidi"/>
          <w:b/>
          <w:bCs/>
          <w:color w:val="auto"/>
          <w:sz w:val="22"/>
          <w:szCs w:val="22"/>
          <w:lang w:val="zh-CN"/>
        </w:rPr>
      </w:sdtEndPr>
      <w:sdtContent>
        <w:p>
          <w:pPr>
            <w:pStyle w:val="46"/>
            <w:jc w:val="center"/>
            <w:rPr>
              <w:rFonts w:ascii="仿宋_GB2312" w:eastAsia="仿宋_GB2312"/>
              <w:b/>
              <w:color w:val="auto"/>
              <w:sz w:val="36"/>
              <w:lang w:val="zh-CN"/>
            </w:rPr>
          </w:pPr>
          <w:r>
            <w:rPr>
              <w:rFonts w:hint="eastAsia" w:ascii="仿宋_GB2312" w:eastAsia="仿宋_GB2312"/>
              <w:b/>
              <w:color w:val="auto"/>
              <w:sz w:val="36"/>
              <w:lang w:val="zh-CN"/>
            </w:rPr>
            <w:t>目  录</w:t>
          </w:r>
        </w:p>
        <w:p>
          <w:pPr>
            <w:rPr>
              <w:lang w:val="zh-CN"/>
            </w:rPr>
          </w:pPr>
        </w:p>
        <w:p>
          <w:pPr>
            <w:pStyle w:val="15"/>
            <w:tabs>
              <w:tab w:val="right" w:leader="dot" w:pos="8296"/>
            </w:tabs>
            <w:spacing w:line="480" w:lineRule="auto"/>
            <w:rPr>
              <w:rFonts w:ascii="仿宋_GB2312" w:eastAsia="仿宋_GB2312" w:hAnsiTheme="minorHAnsi"/>
              <w:b/>
              <w:kern w:val="2"/>
              <w:sz w:val="28"/>
              <w:szCs w:val="28"/>
            </w:rPr>
          </w:pPr>
          <w:r>
            <w:rPr>
              <w:rFonts w:hint="eastAsia" w:ascii="仿宋_GB2312" w:eastAsia="仿宋_GB2312"/>
              <w:b/>
              <w:sz w:val="28"/>
              <w:szCs w:val="28"/>
            </w:rPr>
            <w:fldChar w:fldCharType="begin"/>
          </w:r>
          <w:r>
            <w:rPr>
              <w:rFonts w:hint="eastAsia" w:ascii="仿宋_GB2312" w:eastAsia="仿宋_GB2312"/>
              <w:b/>
              <w:sz w:val="28"/>
              <w:szCs w:val="28"/>
            </w:rPr>
            <w:instrText xml:space="preserve"> TOC \o "1-3" \h \z \u </w:instrText>
          </w:r>
          <w:r>
            <w:rPr>
              <w:rFonts w:hint="eastAsia" w:ascii="仿宋_GB2312" w:eastAsia="仿宋_GB2312"/>
              <w:b/>
              <w:sz w:val="28"/>
              <w:szCs w:val="28"/>
            </w:rPr>
            <w:fldChar w:fldCharType="separate"/>
          </w:r>
          <w:r>
            <w:fldChar w:fldCharType="begin"/>
          </w:r>
          <w:r>
            <w:instrText xml:space="preserve"> HYPERLINK \l "_Toc96874880" </w:instrText>
          </w:r>
          <w:r>
            <w:fldChar w:fldCharType="separate"/>
          </w:r>
          <w:r>
            <w:rPr>
              <w:rStyle w:val="26"/>
              <w:rFonts w:hint="eastAsia" w:ascii="仿宋_GB2312" w:hAnsi="方正小标宋简体" w:eastAsia="仿宋_GB2312" w:cs="方正小标宋简体"/>
              <w:b/>
              <w:bCs/>
              <w:kern w:val="44"/>
              <w:sz w:val="28"/>
              <w:szCs w:val="28"/>
            </w:rPr>
            <w:t>第一章  比选公告</w:t>
          </w:r>
          <w:r>
            <w:rPr>
              <w:rFonts w:hint="eastAsia" w:ascii="仿宋_GB2312" w:eastAsia="仿宋_GB2312"/>
              <w:b/>
              <w:sz w:val="28"/>
              <w:szCs w:val="28"/>
            </w:rPr>
            <w:tab/>
          </w:r>
          <w:r>
            <w:rPr>
              <w:rFonts w:hint="eastAsia" w:ascii="仿宋_GB2312" w:eastAsia="仿宋_GB2312"/>
              <w:b/>
              <w:sz w:val="28"/>
              <w:szCs w:val="28"/>
            </w:rPr>
            <w:fldChar w:fldCharType="begin"/>
          </w:r>
          <w:r>
            <w:rPr>
              <w:rFonts w:hint="eastAsia" w:ascii="仿宋_GB2312" w:eastAsia="仿宋_GB2312"/>
              <w:b/>
              <w:sz w:val="28"/>
              <w:szCs w:val="28"/>
            </w:rPr>
            <w:instrText xml:space="preserve"> PAGEREF _Toc96874880 \h </w:instrText>
          </w:r>
          <w:r>
            <w:rPr>
              <w:rFonts w:hint="eastAsia" w:ascii="仿宋_GB2312" w:eastAsia="仿宋_GB2312"/>
              <w:b/>
              <w:sz w:val="28"/>
              <w:szCs w:val="28"/>
            </w:rPr>
            <w:fldChar w:fldCharType="separate"/>
          </w:r>
          <w:r>
            <w:rPr>
              <w:rFonts w:ascii="仿宋_GB2312" w:eastAsia="仿宋_GB2312"/>
              <w:b/>
              <w:sz w:val="28"/>
              <w:szCs w:val="28"/>
            </w:rPr>
            <w:t>1</w:t>
          </w:r>
          <w:r>
            <w:rPr>
              <w:rFonts w:hint="eastAsia" w:ascii="仿宋_GB2312" w:eastAsia="仿宋_GB2312"/>
              <w:b/>
              <w:sz w:val="28"/>
              <w:szCs w:val="28"/>
            </w:rPr>
            <w:fldChar w:fldCharType="end"/>
          </w:r>
          <w:r>
            <w:rPr>
              <w:rFonts w:hint="eastAsia" w:ascii="仿宋_GB2312" w:eastAsia="仿宋_GB2312"/>
              <w:b/>
              <w:sz w:val="28"/>
              <w:szCs w:val="28"/>
            </w:rPr>
            <w:fldChar w:fldCharType="end"/>
          </w:r>
        </w:p>
        <w:p>
          <w:pPr>
            <w:pStyle w:val="15"/>
            <w:tabs>
              <w:tab w:val="right" w:leader="dot" w:pos="8296"/>
            </w:tabs>
            <w:spacing w:line="480" w:lineRule="auto"/>
            <w:rPr>
              <w:rFonts w:ascii="仿宋_GB2312" w:eastAsia="仿宋_GB2312" w:hAnsiTheme="minorHAnsi"/>
              <w:b/>
              <w:kern w:val="2"/>
              <w:sz w:val="28"/>
              <w:szCs w:val="28"/>
            </w:rPr>
          </w:pPr>
          <w:r>
            <w:fldChar w:fldCharType="begin"/>
          </w:r>
          <w:r>
            <w:instrText xml:space="preserve"> HYPERLINK \l "_Toc96874881" </w:instrText>
          </w:r>
          <w:r>
            <w:fldChar w:fldCharType="separate"/>
          </w:r>
          <w:r>
            <w:rPr>
              <w:rStyle w:val="26"/>
              <w:rFonts w:hint="eastAsia" w:ascii="仿宋_GB2312" w:hAnsi="方正小标宋简体" w:eastAsia="仿宋_GB2312" w:cs="方正小标宋简体"/>
              <w:b/>
              <w:bCs/>
              <w:kern w:val="44"/>
              <w:sz w:val="28"/>
              <w:szCs w:val="28"/>
            </w:rPr>
            <w:t>第二章  比选申请人须知</w:t>
          </w:r>
          <w:r>
            <w:rPr>
              <w:rFonts w:hint="eastAsia" w:ascii="仿宋_GB2312" w:eastAsia="仿宋_GB2312"/>
              <w:b/>
              <w:sz w:val="28"/>
              <w:szCs w:val="28"/>
            </w:rPr>
            <w:tab/>
          </w:r>
          <w:r>
            <w:rPr>
              <w:rFonts w:hint="eastAsia" w:ascii="仿宋_GB2312" w:eastAsia="仿宋_GB2312"/>
              <w:b/>
              <w:sz w:val="28"/>
              <w:szCs w:val="28"/>
            </w:rPr>
            <w:fldChar w:fldCharType="begin"/>
          </w:r>
          <w:r>
            <w:rPr>
              <w:rFonts w:hint="eastAsia" w:ascii="仿宋_GB2312" w:eastAsia="仿宋_GB2312"/>
              <w:b/>
              <w:sz w:val="28"/>
              <w:szCs w:val="28"/>
            </w:rPr>
            <w:instrText xml:space="preserve"> PAGEREF _Toc96874881 \h </w:instrText>
          </w:r>
          <w:r>
            <w:rPr>
              <w:rFonts w:hint="eastAsia" w:ascii="仿宋_GB2312" w:eastAsia="仿宋_GB2312"/>
              <w:b/>
              <w:sz w:val="28"/>
              <w:szCs w:val="28"/>
            </w:rPr>
            <w:fldChar w:fldCharType="separate"/>
          </w:r>
          <w:r>
            <w:rPr>
              <w:rFonts w:ascii="仿宋_GB2312" w:eastAsia="仿宋_GB2312"/>
              <w:b/>
              <w:sz w:val="28"/>
              <w:szCs w:val="28"/>
            </w:rPr>
            <w:t>5</w:t>
          </w:r>
          <w:r>
            <w:rPr>
              <w:rFonts w:hint="eastAsia" w:ascii="仿宋_GB2312" w:eastAsia="仿宋_GB2312"/>
              <w:b/>
              <w:sz w:val="28"/>
              <w:szCs w:val="28"/>
            </w:rPr>
            <w:fldChar w:fldCharType="end"/>
          </w:r>
          <w:r>
            <w:rPr>
              <w:rFonts w:hint="eastAsia" w:ascii="仿宋_GB2312" w:eastAsia="仿宋_GB2312"/>
              <w:b/>
              <w:sz w:val="28"/>
              <w:szCs w:val="28"/>
            </w:rPr>
            <w:fldChar w:fldCharType="end"/>
          </w:r>
        </w:p>
        <w:p>
          <w:pPr>
            <w:pStyle w:val="15"/>
            <w:tabs>
              <w:tab w:val="right" w:leader="dot" w:pos="8296"/>
            </w:tabs>
            <w:spacing w:line="480" w:lineRule="auto"/>
            <w:rPr>
              <w:rFonts w:ascii="仿宋_GB2312" w:eastAsia="仿宋_GB2312" w:hAnsiTheme="minorHAnsi"/>
              <w:b/>
              <w:kern w:val="2"/>
              <w:sz w:val="28"/>
              <w:szCs w:val="28"/>
            </w:rPr>
          </w:pPr>
          <w:r>
            <w:fldChar w:fldCharType="begin"/>
          </w:r>
          <w:r>
            <w:instrText xml:space="preserve"> HYPERLINK \l "_Toc96874882" </w:instrText>
          </w:r>
          <w:r>
            <w:fldChar w:fldCharType="separate"/>
          </w:r>
          <w:r>
            <w:rPr>
              <w:rStyle w:val="26"/>
              <w:rFonts w:hint="eastAsia" w:ascii="仿宋_GB2312" w:hAnsi="方正小标宋简体" w:eastAsia="仿宋_GB2312" w:cs="方正小标宋简体"/>
              <w:b/>
              <w:bCs/>
              <w:kern w:val="44"/>
              <w:sz w:val="28"/>
              <w:szCs w:val="28"/>
            </w:rPr>
            <w:t>第三章  比选人要求</w:t>
          </w:r>
          <w:r>
            <w:rPr>
              <w:rFonts w:hint="eastAsia" w:ascii="仿宋_GB2312" w:eastAsia="仿宋_GB2312"/>
              <w:b/>
              <w:sz w:val="28"/>
              <w:szCs w:val="28"/>
            </w:rPr>
            <w:tab/>
          </w:r>
          <w:r>
            <w:rPr>
              <w:rFonts w:hint="eastAsia" w:ascii="仿宋_GB2312" w:eastAsia="仿宋_GB2312"/>
              <w:b/>
              <w:sz w:val="28"/>
              <w:szCs w:val="28"/>
            </w:rPr>
            <w:fldChar w:fldCharType="begin"/>
          </w:r>
          <w:r>
            <w:rPr>
              <w:rFonts w:hint="eastAsia" w:ascii="仿宋_GB2312" w:eastAsia="仿宋_GB2312"/>
              <w:b/>
              <w:sz w:val="28"/>
              <w:szCs w:val="28"/>
            </w:rPr>
            <w:instrText xml:space="preserve"> PAGEREF _Toc96874882 \h </w:instrText>
          </w:r>
          <w:r>
            <w:rPr>
              <w:rFonts w:hint="eastAsia" w:ascii="仿宋_GB2312" w:eastAsia="仿宋_GB2312"/>
              <w:b/>
              <w:sz w:val="28"/>
              <w:szCs w:val="28"/>
            </w:rPr>
            <w:fldChar w:fldCharType="separate"/>
          </w:r>
          <w:r>
            <w:rPr>
              <w:rFonts w:ascii="仿宋_GB2312" w:eastAsia="仿宋_GB2312"/>
              <w:b/>
              <w:sz w:val="28"/>
              <w:szCs w:val="28"/>
            </w:rPr>
            <w:t>9</w:t>
          </w:r>
          <w:r>
            <w:rPr>
              <w:rFonts w:hint="eastAsia" w:ascii="仿宋_GB2312" w:eastAsia="仿宋_GB2312"/>
              <w:b/>
              <w:sz w:val="28"/>
              <w:szCs w:val="28"/>
            </w:rPr>
            <w:fldChar w:fldCharType="end"/>
          </w:r>
          <w:r>
            <w:rPr>
              <w:rFonts w:hint="eastAsia" w:ascii="仿宋_GB2312" w:eastAsia="仿宋_GB2312"/>
              <w:b/>
              <w:sz w:val="28"/>
              <w:szCs w:val="28"/>
            </w:rPr>
            <w:fldChar w:fldCharType="end"/>
          </w:r>
        </w:p>
        <w:p>
          <w:pPr>
            <w:pStyle w:val="15"/>
            <w:tabs>
              <w:tab w:val="right" w:leader="dot" w:pos="8296"/>
            </w:tabs>
            <w:spacing w:line="480" w:lineRule="auto"/>
            <w:rPr>
              <w:rFonts w:ascii="仿宋_GB2312" w:eastAsia="仿宋_GB2312" w:hAnsiTheme="minorHAnsi"/>
              <w:b/>
              <w:kern w:val="2"/>
              <w:sz w:val="28"/>
              <w:szCs w:val="28"/>
            </w:rPr>
          </w:pPr>
          <w:r>
            <w:fldChar w:fldCharType="begin"/>
          </w:r>
          <w:r>
            <w:instrText xml:space="preserve"> HYPERLINK \l "_Toc96874883" </w:instrText>
          </w:r>
          <w:r>
            <w:fldChar w:fldCharType="separate"/>
          </w:r>
          <w:r>
            <w:rPr>
              <w:rStyle w:val="26"/>
              <w:rFonts w:hint="eastAsia" w:ascii="仿宋_GB2312" w:hAnsi="方正小标宋简体" w:eastAsia="仿宋_GB2312" w:cs="方正小标宋简体"/>
              <w:b/>
              <w:bCs/>
              <w:kern w:val="44"/>
              <w:sz w:val="28"/>
              <w:szCs w:val="28"/>
            </w:rPr>
            <w:t>第四章  比选申请文件的格式</w:t>
          </w:r>
          <w:r>
            <w:rPr>
              <w:rFonts w:hint="eastAsia" w:ascii="仿宋_GB2312" w:eastAsia="仿宋_GB2312"/>
              <w:b/>
              <w:sz w:val="28"/>
              <w:szCs w:val="28"/>
            </w:rPr>
            <w:tab/>
          </w:r>
          <w:r>
            <w:rPr>
              <w:rFonts w:hint="eastAsia" w:ascii="仿宋_GB2312" w:eastAsia="仿宋_GB2312"/>
              <w:b/>
              <w:sz w:val="28"/>
              <w:szCs w:val="28"/>
            </w:rPr>
            <w:fldChar w:fldCharType="begin"/>
          </w:r>
          <w:r>
            <w:rPr>
              <w:rFonts w:hint="eastAsia" w:ascii="仿宋_GB2312" w:eastAsia="仿宋_GB2312"/>
              <w:b/>
              <w:sz w:val="28"/>
              <w:szCs w:val="28"/>
            </w:rPr>
            <w:instrText xml:space="preserve"> PAGEREF _Toc96874883 \h </w:instrText>
          </w:r>
          <w:r>
            <w:rPr>
              <w:rFonts w:hint="eastAsia" w:ascii="仿宋_GB2312" w:eastAsia="仿宋_GB2312"/>
              <w:b/>
              <w:sz w:val="28"/>
              <w:szCs w:val="28"/>
            </w:rPr>
            <w:fldChar w:fldCharType="separate"/>
          </w:r>
          <w:r>
            <w:rPr>
              <w:rFonts w:ascii="仿宋_GB2312" w:eastAsia="仿宋_GB2312"/>
              <w:b/>
              <w:sz w:val="28"/>
              <w:szCs w:val="28"/>
            </w:rPr>
            <w:t>13</w:t>
          </w:r>
          <w:r>
            <w:rPr>
              <w:rFonts w:hint="eastAsia" w:ascii="仿宋_GB2312" w:eastAsia="仿宋_GB2312"/>
              <w:b/>
              <w:sz w:val="28"/>
              <w:szCs w:val="28"/>
            </w:rPr>
            <w:fldChar w:fldCharType="end"/>
          </w:r>
          <w:r>
            <w:rPr>
              <w:rFonts w:hint="eastAsia" w:ascii="仿宋_GB2312" w:eastAsia="仿宋_GB2312"/>
              <w:b/>
              <w:sz w:val="28"/>
              <w:szCs w:val="28"/>
            </w:rPr>
            <w:fldChar w:fldCharType="end"/>
          </w:r>
        </w:p>
        <w:p>
          <w:pPr>
            <w:pStyle w:val="15"/>
            <w:tabs>
              <w:tab w:val="right" w:leader="dot" w:pos="8296"/>
            </w:tabs>
            <w:spacing w:line="480" w:lineRule="auto"/>
            <w:rPr>
              <w:rFonts w:ascii="仿宋_GB2312" w:eastAsia="仿宋_GB2312" w:hAnsiTheme="minorHAnsi"/>
              <w:b/>
              <w:kern w:val="2"/>
              <w:sz w:val="28"/>
              <w:szCs w:val="28"/>
            </w:rPr>
          </w:pPr>
          <w:r>
            <w:fldChar w:fldCharType="begin"/>
          </w:r>
          <w:r>
            <w:instrText xml:space="preserve"> HYPERLINK \l "_Toc96874918" </w:instrText>
          </w:r>
          <w:r>
            <w:fldChar w:fldCharType="separate"/>
          </w:r>
          <w:r>
            <w:rPr>
              <w:rStyle w:val="26"/>
              <w:rFonts w:hint="eastAsia" w:ascii="仿宋_GB2312" w:hAnsi="方正小标宋简体" w:eastAsia="仿宋_GB2312" w:cs="方正小标宋简体"/>
              <w:b/>
              <w:bCs/>
              <w:kern w:val="44"/>
              <w:sz w:val="28"/>
              <w:szCs w:val="28"/>
            </w:rPr>
            <w:t>第五章  评审办法</w:t>
          </w:r>
          <w:r>
            <w:rPr>
              <w:rFonts w:hint="eastAsia" w:ascii="仿宋_GB2312" w:eastAsia="仿宋_GB2312"/>
              <w:b/>
              <w:sz w:val="28"/>
              <w:szCs w:val="28"/>
            </w:rPr>
            <w:tab/>
          </w:r>
          <w:r>
            <w:rPr>
              <w:rFonts w:hint="eastAsia" w:ascii="仿宋_GB2312" w:eastAsia="仿宋_GB2312"/>
              <w:b/>
              <w:sz w:val="28"/>
              <w:szCs w:val="28"/>
            </w:rPr>
            <w:fldChar w:fldCharType="begin"/>
          </w:r>
          <w:r>
            <w:rPr>
              <w:rFonts w:hint="eastAsia" w:ascii="仿宋_GB2312" w:eastAsia="仿宋_GB2312"/>
              <w:b/>
              <w:sz w:val="28"/>
              <w:szCs w:val="28"/>
            </w:rPr>
            <w:instrText xml:space="preserve"> PAGEREF _Toc96874918 \h </w:instrText>
          </w:r>
          <w:r>
            <w:rPr>
              <w:rFonts w:hint="eastAsia" w:ascii="仿宋_GB2312" w:eastAsia="仿宋_GB2312"/>
              <w:b/>
              <w:sz w:val="28"/>
              <w:szCs w:val="28"/>
            </w:rPr>
            <w:fldChar w:fldCharType="separate"/>
          </w:r>
          <w:r>
            <w:rPr>
              <w:rFonts w:ascii="仿宋_GB2312" w:eastAsia="仿宋_GB2312"/>
              <w:b/>
              <w:sz w:val="28"/>
              <w:szCs w:val="28"/>
            </w:rPr>
            <w:t>29</w:t>
          </w:r>
          <w:r>
            <w:rPr>
              <w:rFonts w:hint="eastAsia" w:ascii="仿宋_GB2312" w:eastAsia="仿宋_GB2312"/>
              <w:b/>
              <w:sz w:val="28"/>
              <w:szCs w:val="28"/>
            </w:rPr>
            <w:fldChar w:fldCharType="end"/>
          </w:r>
          <w:r>
            <w:rPr>
              <w:rFonts w:hint="eastAsia" w:ascii="仿宋_GB2312" w:eastAsia="仿宋_GB2312"/>
              <w:b/>
              <w:sz w:val="28"/>
              <w:szCs w:val="28"/>
            </w:rPr>
            <w:fldChar w:fldCharType="end"/>
          </w:r>
        </w:p>
        <w:p>
          <w:pPr>
            <w:pStyle w:val="15"/>
            <w:tabs>
              <w:tab w:val="right" w:leader="dot" w:pos="8296"/>
            </w:tabs>
            <w:spacing w:line="480" w:lineRule="auto"/>
            <w:rPr>
              <w:rFonts w:ascii="仿宋_GB2312" w:eastAsia="仿宋_GB2312" w:hAnsiTheme="minorHAnsi"/>
              <w:b/>
              <w:kern w:val="2"/>
              <w:sz w:val="28"/>
              <w:szCs w:val="28"/>
            </w:rPr>
          </w:pPr>
          <w:r>
            <w:fldChar w:fldCharType="begin"/>
          </w:r>
          <w:r>
            <w:instrText xml:space="preserve"> HYPERLINK \l "_Toc96874919" </w:instrText>
          </w:r>
          <w:r>
            <w:fldChar w:fldCharType="separate"/>
          </w:r>
          <w:r>
            <w:rPr>
              <w:rStyle w:val="26"/>
              <w:rFonts w:hint="eastAsia" w:ascii="仿宋_GB2312" w:hAnsi="方正小标宋简体" w:eastAsia="仿宋_GB2312" w:cs="方正小标宋简体"/>
              <w:b/>
              <w:bCs/>
              <w:kern w:val="44"/>
              <w:sz w:val="28"/>
              <w:szCs w:val="28"/>
            </w:rPr>
            <w:t>第六章  合同模板</w:t>
          </w:r>
          <w:r>
            <w:rPr>
              <w:rFonts w:hint="eastAsia" w:ascii="仿宋_GB2312" w:eastAsia="仿宋_GB2312"/>
              <w:b/>
              <w:sz w:val="28"/>
              <w:szCs w:val="28"/>
            </w:rPr>
            <w:tab/>
          </w:r>
          <w:r>
            <w:rPr>
              <w:rFonts w:hint="eastAsia" w:ascii="仿宋_GB2312" w:eastAsia="仿宋_GB2312"/>
              <w:b/>
              <w:sz w:val="28"/>
              <w:szCs w:val="28"/>
            </w:rPr>
            <w:fldChar w:fldCharType="begin"/>
          </w:r>
          <w:r>
            <w:rPr>
              <w:rFonts w:hint="eastAsia" w:ascii="仿宋_GB2312" w:eastAsia="仿宋_GB2312"/>
              <w:b/>
              <w:sz w:val="28"/>
              <w:szCs w:val="28"/>
            </w:rPr>
            <w:instrText xml:space="preserve"> PAGEREF _Toc96874919 \h </w:instrText>
          </w:r>
          <w:r>
            <w:rPr>
              <w:rFonts w:hint="eastAsia" w:ascii="仿宋_GB2312" w:eastAsia="仿宋_GB2312"/>
              <w:b/>
              <w:sz w:val="28"/>
              <w:szCs w:val="28"/>
            </w:rPr>
            <w:fldChar w:fldCharType="separate"/>
          </w:r>
          <w:r>
            <w:rPr>
              <w:rFonts w:ascii="仿宋_GB2312" w:eastAsia="仿宋_GB2312"/>
              <w:b/>
              <w:sz w:val="28"/>
              <w:szCs w:val="28"/>
            </w:rPr>
            <w:t>35</w:t>
          </w:r>
          <w:r>
            <w:rPr>
              <w:rFonts w:hint="eastAsia" w:ascii="仿宋_GB2312" w:eastAsia="仿宋_GB2312"/>
              <w:b/>
              <w:sz w:val="28"/>
              <w:szCs w:val="28"/>
            </w:rPr>
            <w:fldChar w:fldCharType="end"/>
          </w:r>
          <w:r>
            <w:rPr>
              <w:rFonts w:hint="eastAsia" w:ascii="仿宋_GB2312" w:eastAsia="仿宋_GB2312"/>
              <w:b/>
              <w:sz w:val="28"/>
              <w:szCs w:val="28"/>
            </w:rPr>
            <w:fldChar w:fldCharType="end"/>
          </w:r>
        </w:p>
        <w:p>
          <w:r>
            <w:rPr>
              <w:rFonts w:hint="eastAsia" w:ascii="仿宋_GB2312" w:eastAsia="仿宋_GB2312"/>
              <w:b/>
              <w:bCs/>
              <w:sz w:val="28"/>
              <w:szCs w:val="28"/>
              <w:lang w:val="zh-CN"/>
            </w:rPr>
            <w:fldChar w:fldCharType="end"/>
          </w:r>
        </w:p>
      </w:sdtContent>
    </w:sdt>
    <w:bookmarkEnd w:id="0"/>
    <w:p>
      <w:pPr>
        <w:adjustRightInd/>
        <w:snapToGrid/>
        <w:spacing w:after="0"/>
        <w:rPr>
          <w:rFonts w:ascii="方正小标宋简体" w:hAnsi="方正小标宋简体" w:eastAsia="方正小标宋简体" w:cs="方正小标宋简体"/>
          <w:sz w:val="32"/>
          <w:szCs w:val="32"/>
        </w:rPr>
        <w:sectPr>
          <w:pgSz w:w="11906" w:h="16838"/>
          <w:pgMar w:top="2098" w:right="1474" w:bottom="1984" w:left="1587" w:header="851" w:footer="992" w:gutter="0"/>
          <w:pgNumType w:start="1"/>
          <w:cols w:space="425" w:num="1"/>
          <w:titlePg/>
          <w:rtlGutter w:val="0"/>
          <w:docGrid w:type="lines" w:linePitch="312" w:charSpace="0"/>
        </w:sectPr>
      </w:pPr>
    </w:p>
    <w:p>
      <w:pPr>
        <w:spacing w:after="0" w:line="500" w:lineRule="exact"/>
        <w:jc w:val="center"/>
        <w:outlineLvl w:val="0"/>
        <w:rPr>
          <w:rFonts w:ascii="方正小标宋简体" w:hAnsi="方正小标宋简体" w:eastAsia="方正小标宋简体" w:cs="方正小标宋简体"/>
          <w:bCs/>
          <w:kern w:val="44"/>
          <w:sz w:val="32"/>
          <w:szCs w:val="32"/>
        </w:rPr>
      </w:pPr>
      <w:bookmarkStart w:id="1" w:name="_Toc96874880"/>
      <w:r>
        <w:rPr>
          <w:rFonts w:hint="eastAsia" w:ascii="方正小标宋简体" w:hAnsi="方正小标宋简体" w:eastAsia="方正小标宋简体" w:cs="方正小标宋简体"/>
          <w:bCs/>
          <w:kern w:val="44"/>
          <w:sz w:val="44"/>
          <w:szCs w:val="44"/>
        </w:rPr>
        <w:t xml:space="preserve">第一章 </w:t>
      </w:r>
      <w:r>
        <w:rPr>
          <w:rFonts w:ascii="方正小标宋简体" w:hAnsi="方正小标宋简体" w:eastAsia="方正小标宋简体" w:cs="方正小标宋简体"/>
          <w:bCs/>
          <w:kern w:val="44"/>
          <w:sz w:val="44"/>
          <w:szCs w:val="44"/>
        </w:rPr>
        <w:t xml:space="preserve"> </w:t>
      </w:r>
      <w:r>
        <w:rPr>
          <w:rFonts w:hint="eastAsia" w:ascii="方正小标宋简体" w:hAnsi="方正小标宋简体" w:eastAsia="方正小标宋简体" w:cs="方正小标宋简体"/>
          <w:bCs/>
          <w:kern w:val="44"/>
          <w:sz w:val="44"/>
          <w:szCs w:val="44"/>
        </w:rPr>
        <w:t>比选公告</w:t>
      </w:r>
      <w:bookmarkEnd w:id="1"/>
    </w:p>
    <w:p>
      <w:pPr>
        <w:pStyle w:val="29"/>
      </w:pPr>
    </w:p>
    <w:p>
      <w:pPr>
        <w:keepNext w:val="0"/>
        <w:keepLines w:val="0"/>
        <w:pageBreakBefore w:val="0"/>
        <w:widowControl/>
        <w:kinsoku/>
        <w:wordWrap/>
        <w:overflowPunct/>
        <w:topLinePunct w:val="0"/>
        <w:autoSpaceDE/>
        <w:autoSpaceDN/>
        <w:bidi w:val="0"/>
        <w:adjustRightInd w:val="0"/>
        <w:snapToGrid w:val="0"/>
        <w:spacing w:after="0" w:line="57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四川蜀道铁路运营管理集团有限责任公司（以下简称“蜀道铁路运营集团”或“公司”）拟选聘税务顾问服务，作为常年税务顾问服务，承担公司日常税务顾问服务工作。</w:t>
      </w:r>
      <w:bookmarkStart w:id="2" w:name="_Toc7177174"/>
      <w:r>
        <w:rPr>
          <w:rFonts w:hint="eastAsia" w:ascii="仿宋_GB2312" w:hAnsi="仿宋_GB2312" w:eastAsia="仿宋_GB2312" w:cs="仿宋_GB2312"/>
          <w:sz w:val="32"/>
          <w:szCs w:val="32"/>
        </w:rPr>
        <w:t>依据《四川省国资委及所出资企业中介机构选聘管理试行办法》（川国资委办[2019]9号）规定，由蜀道铁路运营集团作为比选人，采取公开比选方式面向社会选择法律服务机构。</w:t>
      </w:r>
    </w:p>
    <w:bookmarkEnd w:id="2"/>
    <w:p>
      <w:pPr>
        <w:numPr>
          <w:ilvl w:val="0"/>
          <w:numId w:val="1"/>
        </w:numPr>
        <w:spacing w:after="0" w:line="500" w:lineRule="exact"/>
        <w:ind w:firstLine="640" w:firstLineChars="200"/>
        <w:rPr>
          <w:rFonts w:ascii="黑体" w:hAnsi="黑体" w:eastAsia="黑体" w:cs="黑体"/>
          <w:sz w:val="32"/>
          <w:szCs w:val="32"/>
        </w:rPr>
      </w:pPr>
      <w:bookmarkStart w:id="3" w:name="_Toc7177175"/>
      <w:r>
        <w:rPr>
          <w:rFonts w:hint="eastAsia" w:ascii="黑体" w:hAnsi="黑体" w:eastAsia="黑体" w:cs="黑体"/>
          <w:sz w:val="32"/>
          <w:szCs w:val="32"/>
        </w:rPr>
        <w:t>公司简介及项目概况</w:t>
      </w:r>
    </w:p>
    <w:p>
      <w:pPr>
        <w:keepNext w:val="0"/>
        <w:keepLines w:val="0"/>
        <w:pageBreakBefore w:val="0"/>
        <w:widowControl/>
        <w:kinsoku/>
        <w:wordWrap/>
        <w:overflowPunct/>
        <w:topLinePunct w:val="0"/>
        <w:autoSpaceDE/>
        <w:autoSpaceDN/>
        <w:bidi w:val="0"/>
        <w:adjustRightInd w:val="0"/>
        <w:snapToGrid w:val="0"/>
        <w:spacing w:after="0" w:line="57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川蜀道铁路运营管理集团有限责任公司（以下简称“蜀道铁路运营集团”或“公司”），是蜀道投资集团有限责任公司的全资直属子企业，以专业化整合方式组建，于2021年12月29日揭牌成立，注册资本10亿元。蜀道铁路运营集团作为四川省唯一地方铁路特许经营企业，致力于打造蜀道铁路运营管理专业化平台，充分发挥合资铁路平台优势，积极布局铁路物流、沿线资源开发等多元经营产业，深挖产业链价值，打造新的利润增长极，有效支撑蜀道集团铁路产业高质量发展。</w:t>
      </w:r>
    </w:p>
    <w:p>
      <w:pPr>
        <w:keepNext w:val="0"/>
        <w:keepLines w:val="0"/>
        <w:pageBreakBefore w:val="0"/>
        <w:widowControl/>
        <w:kinsoku/>
        <w:wordWrap/>
        <w:overflowPunct/>
        <w:topLinePunct w:val="0"/>
        <w:autoSpaceDE/>
        <w:autoSpaceDN/>
        <w:bidi w:val="0"/>
        <w:adjustRightInd w:val="0"/>
        <w:snapToGrid w:val="0"/>
        <w:spacing w:after="0" w:line="57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为提高公司依法治企的能力，并在日常法律事务、重大投融资等领域发挥法律的护航作用，预防法律风险，蜀道铁路运营集团决定通过公开比选的方式，择优选择2</w:t>
      </w:r>
      <w:r>
        <w:rPr>
          <w:rFonts w:ascii="仿宋_GB2312" w:hAnsi="仿宋_GB2312" w:eastAsia="仿宋_GB2312" w:cs="仿宋_GB2312"/>
          <w:sz w:val="32"/>
          <w:szCs w:val="32"/>
        </w:rPr>
        <w:t>022</w:t>
      </w:r>
      <w:r>
        <w:rPr>
          <w:rFonts w:hint="eastAsia" w:ascii="仿宋_GB2312" w:hAnsi="仿宋_GB2312" w:eastAsia="仿宋_GB2312" w:cs="仿宋_GB2312"/>
          <w:sz w:val="32"/>
          <w:szCs w:val="32"/>
        </w:rPr>
        <w:t>年度常年税务顾问咨询单位1家。</w:t>
      </w:r>
    </w:p>
    <w:bookmarkEnd w:id="3"/>
    <w:p>
      <w:pPr>
        <w:numPr>
          <w:ilvl w:val="0"/>
          <w:numId w:val="1"/>
        </w:numPr>
        <w:spacing w:after="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比选范围及期限</w:t>
      </w:r>
    </w:p>
    <w:p>
      <w:pPr>
        <w:spacing w:after="0" w:line="500" w:lineRule="exact"/>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（一）比选范围</w:t>
      </w:r>
    </w:p>
    <w:p>
      <w:pPr>
        <w:keepNext w:val="0"/>
        <w:keepLines w:val="0"/>
        <w:pageBreakBefore w:val="0"/>
        <w:widowControl/>
        <w:kinsoku/>
        <w:wordWrap/>
        <w:overflowPunct/>
        <w:topLinePunct w:val="0"/>
        <w:autoSpaceDE/>
        <w:autoSpaceDN/>
        <w:bidi w:val="0"/>
        <w:adjustRightInd w:val="0"/>
        <w:snapToGrid w:val="0"/>
        <w:spacing w:after="0"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四川蜀道铁路运营管理集团有限责任公司2022年税务顾问服务项目（项目名称）的工作服务范围包括:</w:t>
      </w:r>
    </w:p>
    <w:p>
      <w:pPr>
        <w:keepNext w:val="0"/>
        <w:keepLines w:val="0"/>
        <w:pageBreakBefore w:val="0"/>
        <w:widowControl/>
        <w:kinsoku/>
        <w:wordWrap/>
        <w:overflowPunct/>
        <w:topLinePunct w:val="0"/>
        <w:autoSpaceDE/>
        <w:autoSpaceDN/>
        <w:bidi w:val="0"/>
        <w:adjustRightInd w:val="0"/>
        <w:snapToGrid w:val="0"/>
        <w:spacing w:after="0"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为甲方</w:t>
      </w:r>
      <w:r>
        <w:rPr>
          <w:rFonts w:hint="eastAsia" w:ascii="仿宋_GB2312" w:hAnsi="仿宋_GB2312" w:eastAsia="仿宋_GB2312" w:cs="仿宋_GB2312"/>
          <w:sz w:val="32"/>
          <w:szCs w:val="32"/>
          <w:lang w:val="en-US" w:eastAsia="zh-CN"/>
        </w:rPr>
        <w:t>蜀道铁路运营集团本部及所属公司</w:t>
      </w:r>
      <w:r>
        <w:rPr>
          <w:rFonts w:hint="eastAsia" w:ascii="仿宋_GB2312" w:hAnsi="仿宋_GB2312" w:eastAsia="仿宋_GB2312" w:cs="仿宋_GB2312"/>
          <w:sz w:val="32"/>
          <w:szCs w:val="32"/>
        </w:rPr>
        <w:t>提供税收管理理念、思路和方法的支持；</w:t>
      </w:r>
    </w:p>
    <w:p>
      <w:pPr>
        <w:keepNext w:val="0"/>
        <w:keepLines w:val="0"/>
        <w:pageBreakBefore w:val="0"/>
        <w:widowControl/>
        <w:kinsoku/>
        <w:wordWrap/>
        <w:overflowPunct/>
        <w:topLinePunct w:val="0"/>
        <w:autoSpaceDE/>
        <w:autoSpaceDN/>
        <w:bidi w:val="0"/>
        <w:adjustRightInd w:val="0"/>
        <w:snapToGrid w:val="0"/>
        <w:spacing w:after="0"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协助甲方</w:t>
      </w:r>
      <w:r>
        <w:rPr>
          <w:rFonts w:hint="eastAsia" w:ascii="仿宋_GB2312" w:hAnsi="仿宋_GB2312" w:eastAsia="仿宋_GB2312" w:cs="仿宋_GB2312"/>
          <w:sz w:val="32"/>
          <w:szCs w:val="32"/>
          <w:lang w:val="en-US" w:eastAsia="zh-CN"/>
        </w:rPr>
        <w:t>蜀道铁路运营集团本部及所属公司</w:t>
      </w:r>
      <w:r>
        <w:rPr>
          <w:rFonts w:hint="eastAsia" w:ascii="仿宋_GB2312" w:hAnsi="仿宋_GB2312" w:eastAsia="仿宋_GB2312" w:cs="仿宋_GB2312"/>
          <w:sz w:val="32"/>
          <w:szCs w:val="32"/>
        </w:rPr>
        <w:t>财务做好税收风险管理，提升应对能力。乙方每季度派人到现场进行税收检查并出具报告；</w:t>
      </w:r>
    </w:p>
    <w:p>
      <w:pPr>
        <w:keepNext w:val="0"/>
        <w:keepLines w:val="0"/>
        <w:pageBreakBefore w:val="0"/>
        <w:widowControl/>
        <w:kinsoku/>
        <w:wordWrap/>
        <w:overflowPunct/>
        <w:topLinePunct w:val="0"/>
        <w:autoSpaceDE/>
        <w:autoSpaceDN/>
        <w:bidi w:val="0"/>
        <w:adjustRightInd w:val="0"/>
        <w:snapToGrid w:val="0"/>
        <w:spacing w:after="0"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协助甲方</w:t>
      </w:r>
      <w:r>
        <w:rPr>
          <w:rFonts w:hint="eastAsia" w:ascii="仿宋_GB2312" w:hAnsi="仿宋_GB2312" w:eastAsia="仿宋_GB2312" w:cs="仿宋_GB2312"/>
          <w:sz w:val="32"/>
          <w:szCs w:val="32"/>
          <w:lang w:val="en-US" w:eastAsia="zh-CN"/>
        </w:rPr>
        <w:t>蜀道铁路运营集团本部及所属公司</w:t>
      </w:r>
      <w:r>
        <w:rPr>
          <w:rFonts w:hint="eastAsia" w:ascii="仿宋_GB2312" w:hAnsi="仿宋_GB2312" w:eastAsia="仿宋_GB2312" w:cs="仿宋_GB2312"/>
          <w:sz w:val="32"/>
          <w:szCs w:val="32"/>
        </w:rPr>
        <w:t>正确运用国家产业政策和财税政策，维护好税收合法权益。</w:t>
      </w:r>
    </w:p>
    <w:p>
      <w:pPr>
        <w:spacing w:after="0" w:line="500" w:lineRule="exact"/>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（二）服务期限</w:t>
      </w:r>
    </w:p>
    <w:p>
      <w:pPr>
        <w:keepNext w:val="0"/>
        <w:keepLines w:val="0"/>
        <w:pageBreakBefore w:val="0"/>
        <w:widowControl/>
        <w:kinsoku/>
        <w:wordWrap/>
        <w:overflowPunct/>
        <w:topLinePunct w:val="0"/>
        <w:autoSpaceDE/>
        <w:autoSpaceDN/>
        <w:bidi w:val="0"/>
        <w:adjustRightInd w:val="0"/>
        <w:snapToGrid w:val="0"/>
        <w:spacing w:after="0"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自合同签订之日起算，合同期限为一年。</w:t>
      </w:r>
    </w:p>
    <w:p>
      <w:pPr>
        <w:spacing w:after="0" w:line="500" w:lineRule="exact"/>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（三）服务方式</w:t>
      </w:r>
    </w:p>
    <w:p>
      <w:pPr>
        <w:keepNext w:val="0"/>
        <w:keepLines w:val="0"/>
        <w:pageBreakBefore w:val="0"/>
        <w:widowControl/>
        <w:kinsoku/>
        <w:wordWrap/>
        <w:overflowPunct/>
        <w:topLinePunct w:val="0"/>
        <w:autoSpaceDE/>
        <w:autoSpaceDN/>
        <w:bidi w:val="0"/>
        <w:adjustRightInd w:val="0"/>
        <w:snapToGrid w:val="0"/>
        <w:spacing w:after="0"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服务单位须按照服务内容工作要求，为公司选派熟悉业务，并具有丰富经验的专业团队提供税务顾问服务。</w:t>
      </w:r>
    </w:p>
    <w:p>
      <w:pPr>
        <w:numPr>
          <w:ilvl w:val="0"/>
          <w:numId w:val="1"/>
        </w:numPr>
        <w:spacing w:after="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资格要求</w:t>
      </w:r>
    </w:p>
    <w:p>
      <w:pPr>
        <w:spacing w:after="0" w:line="500" w:lineRule="exact"/>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（一）税务师事务所</w:t>
      </w:r>
    </w:p>
    <w:p>
      <w:pPr>
        <w:keepNext w:val="0"/>
        <w:keepLines w:val="0"/>
        <w:pageBreakBefore w:val="0"/>
        <w:widowControl/>
        <w:kinsoku/>
        <w:wordWrap/>
        <w:overflowPunct/>
        <w:topLinePunct w:val="0"/>
        <w:autoSpaceDE/>
        <w:autoSpaceDN/>
        <w:bidi w:val="0"/>
        <w:adjustRightInd w:val="0"/>
        <w:snapToGrid w:val="0"/>
        <w:spacing w:after="0"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具有承担民事责任的能力，持有合法有效营业执照及国家法律法规要求的税务师事务所等级证书A级（或以上）、税务师事务所行政登记证书。参选税务师事务所应充分理解并响应比选人对服务工作时效性要求。</w:t>
      </w:r>
    </w:p>
    <w:p>
      <w:pPr>
        <w:keepNext w:val="0"/>
        <w:keepLines w:val="0"/>
        <w:pageBreakBefore w:val="0"/>
        <w:widowControl/>
        <w:kinsoku/>
        <w:wordWrap/>
        <w:overflowPunct/>
        <w:topLinePunct w:val="0"/>
        <w:autoSpaceDE/>
        <w:autoSpaceDN/>
        <w:bidi w:val="0"/>
        <w:adjustRightInd w:val="0"/>
        <w:snapToGrid w:val="0"/>
        <w:spacing w:after="0"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资料要求：税务师事务所行政登记证书、税务师事务所等级证书。</w:t>
      </w:r>
    </w:p>
    <w:p>
      <w:pPr>
        <w:keepNext w:val="0"/>
        <w:keepLines w:val="0"/>
        <w:pageBreakBefore w:val="0"/>
        <w:widowControl/>
        <w:kinsoku/>
        <w:wordWrap/>
        <w:overflowPunct/>
        <w:topLinePunct w:val="0"/>
        <w:autoSpaceDE/>
        <w:autoSpaceDN/>
        <w:bidi w:val="0"/>
        <w:adjustRightInd w:val="0"/>
        <w:snapToGrid w:val="0"/>
        <w:spacing w:after="0" w:line="57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近三年以来，未受过行政处罚、行业惩戒或有效投诉，不存在下列情形之一：弄虚作假、恶意串通、营私舞弊等严重不诚信行为的；分别接受利益相对方委托，就同一事项提供有利益冲突的中介服务的；出具虚假或重大失实的业务报告的；违反中介服务合同约定给委托方造成重大损失的。</w:t>
      </w:r>
    </w:p>
    <w:p>
      <w:pPr>
        <w:keepNext w:val="0"/>
        <w:keepLines w:val="0"/>
        <w:pageBreakBefore w:val="0"/>
        <w:widowControl/>
        <w:kinsoku/>
        <w:wordWrap/>
        <w:overflowPunct/>
        <w:topLinePunct w:val="0"/>
        <w:autoSpaceDE/>
        <w:autoSpaceDN/>
        <w:bidi w:val="0"/>
        <w:adjustRightInd w:val="0"/>
        <w:snapToGrid w:val="0"/>
        <w:spacing w:after="0"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资料要求：税务师事务所承诺函。 </w:t>
      </w:r>
    </w:p>
    <w:p>
      <w:pPr>
        <w:spacing w:after="0" w:line="500" w:lineRule="exact"/>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（二）服务团队</w:t>
      </w:r>
    </w:p>
    <w:p>
      <w:pPr>
        <w:keepNext w:val="0"/>
        <w:keepLines w:val="0"/>
        <w:pageBreakBefore w:val="0"/>
        <w:widowControl/>
        <w:kinsoku/>
        <w:wordWrap/>
        <w:overflowPunct/>
        <w:topLinePunct w:val="0"/>
        <w:autoSpaceDE/>
        <w:autoSpaceDN/>
        <w:bidi w:val="0"/>
        <w:adjustRightInd w:val="0"/>
        <w:snapToGrid w:val="0"/>
        <w:spacing w:after="0"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遵守宪法和法律，具有良好的职业品德、纪律意识，选派的项目负责人须具有有效的注册税务师执业资格证书。</w:t>
      </w:r>
    </w:p>
    <w:p>
      <w:pPr>
        <w:keepNext w:val="0"/>
        <w:keepLines w:val="0"/>
        <w:pageBreakBefore w:val="0"/>
        <w:widowControl/>
        <w:kinsoku/>
        <w:wordWrap/>
        <w:overflowPunct/>
        <w:topLinePunct w:val="0"/>
        <w:autoSpaceDE/>
        <w:autoSpaceDN/>
        <w:bidi w:val="0"/>
        <w:adjustRightInd w:val="0"/>
        <w:snapToGrid w:val="0"/>
        <w:spacing w:after="0"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资料要求：注册税务师执业资格证书。</w:t>
      </w:r>
    </w:p>
    <w:p>
      <w:pPr>
        <w:keepNext w:val="0"/>
        <w:keepLines w:val="0"/>
        <w:pageBreakBefore w:val="0"/>
        <w:widowControl/>
        <w:kinsoku/>
        <w:wordWrap/>
        <w:overflowPunct/>
        <w:topLinePunct w:val="0"/>
        <w:autoSpaceDE/>
        <w:autoSpaceDN/>
        <w:bidi w:val="0"/>
        <w:adjustRightInd w:val="0"/>
        <w:snapToGrid w:val="0"/>
        <w:spacing w:after="0"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项目负责人须具有5年及以上职业年限。</w:t>
      </w:r>
    </w:p>
    <w:p>
      <w:pPr>
        <w:keepNext w:val="0"/>
        <w:keepLines w:val="0"/>
        <w:pageBreakBefore w:val="0"/>
        <w:widowControl/>
        <w:kinsoku/>
        <w:wordWrap/>
        <w:overflowPunct/>
        <w:topLinePunct w:val="0"/>
        <w:autoSpaceDE/>
        <w:autoSpaceDN/>
        <w:bidi w:val="0"/>
        <w:adjustRightInd w:val="0"/>
        <w:snapToGrid w:val="0"/>
        <w:spacing w:after="0"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资料要求：注册税务师执业资格证书。</w:t>
      </w:r>
    </w:p>
    <w:p>
      <w:pPr>
        <w:keepNext w:val="0"/>
        <w:keepLines w:val="0"/>
        <w:pageBreakBefore w:val="0"/>
        <w:widowControl/>
        <w:kinsoku/>
        <w:wordWrap/>
        <w:overflowPunct/>
        <w:topLinePunct w:val="0"/>
        <w:autoSpaceDE/>
        <w:autoSpaceDN/>
        <w:bidi w:val="0"/>
        <w:adjustRightInd w:val="0"/>
        <w:snapToGrid w:val="0"/>
        <w:spacing w:after="0"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2018年1月1日至今至少完成过2个税务咨询项目；</w:t>
      </w:r>
    </w:p>
    <w:p>
      <w:pPr>
        <w:keepNext w:val="0"/>
        <w:keepLines w:val="0"/>
        <w:pageBreakBefore w:val="0"/>
        <w:widowControl/>
        <w:kinsoku/>
        <w:wordWrap/>
        <w:overflowPunct/>
        <w:topLinePunct w:val="0"/>
        <w:autoSpaceDE/>
        <w:autoSpaceDN/>
        <w:bidi w:val="0"/>
        <w:adjustRightInd w:val="0"/>
        <w:snapToGrid w:val="0"/>
        <w:spacing w:after="0"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资料要求：业绩应附体现上述要求的合同复印件并加盖公章。</w:t>
      </w:r>
    </w:p>
    <w:p>
      <w:pPr>
        <w:keepNext w:val="0"/>
        <w:keepLines w:val="0"/>
        <w:pageBreakBefore w:val="0"/>
        <w:widowControl/>
        <w:kinsoku/>
        <w:wordWrap/>
        <w:overflowPunct/>
        <w:topLinePunct w:val="0"/>
        <w:autoSpaceDE/>
        <w:autoSpaceDN/>
        <w:bidi w:val="0"/>
        <w:adjustRightInd w:val="0"/>
        <w:snapToGrid w:val="0"/>
        <w:spacing w:after="0"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本次比选不接受联合体申请。</w:t>
      </w:r>
    </w:p>
    <w:p>
      <w:pPr>
        <w:numPr>
          <w:ilvl w:val="0"/>
          <w:numId w:val="1"/>
        </w:numPr>
        <w:spacing w:after="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比选文件的获取</w:t>
      </w:r>
    </w:p>
    <w:p>
      <w:pPr>
        <w:spacing w:after="0" w:line="500" w:lineRule="exact"/>
        <w:ind w:firstLine="640" w:firstLineChars="200"/>
        <w:jc w:val="both"/>
        <w:rPr>
          <w:rFonts w:ascii="仿宋_GB2312" w:hAnsi="仿宋_GB2312" w:eastAsia="仿宋_GB2312" w:cs="仿宋_GB2312"/>
          <w:sz w:val="28"/>
          <w:szCs w:val="28"/>
        </w:rPr>
      </w:pPr>
      <w:r>
        <w:rPr>
          <w:rFonts w:hint="eastAsia" w:ascii="仿宋_GB2312" w:hAnsi="仿宋_GB2312" w:eastAsia="仿宋_GB2312" w:cs="仿宋_GB2312"/>
          <w:sz w:val="32"/>
          <w:szCs w:val="32"/>
        </w:rPr>
        <w:t>（一）凡有意参加比选的比选申请人，请于2022年8月8日至2022年8月9日（上午9:00--12:00，下午14:00--17:30），由经办人按相关防疫要求，携带</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1 \* GB3</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授权书或单位介绍信原件、</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2 \* GB3</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②</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经办人身份证原件及复印件、③比选申请人营业执照复印件（所有复印件均加盖单位鲜章）到成都市高新区天府一街535号两江国际A座41层免费领取比选文件。报名领取比选文件后，不能转让比选资格</w:t>
      </w:r>
      <w:r>
        <w:rPr>
          <w:rFonts w:hint="eastAsia" w:ascii="仿宋_GB2312" w:hAnsi="仿宋_GB2312" w:eastAsia="仿宋_GB2312" w:cs="仿宋_GB2312"/>
          <w:sz w:val="28"/>
          <w:szCs w:val="28"/>
        </w:rPr>
        <w:t>。</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（二）比选文件有关通知（若有）由比选申请人在</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"https://www.sdtlyyjt.com/"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四川蜀道铁路运营管理集团有限责任公司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https://www.sdtlyyjt.com)</w:t>
      </w:r>
      <w:r>
        <w:rPr>
          <w:rFonts w:hint="eastAsia" w:ascii="仿宋_GB2312" w:hAnsi="仿宋_GB2312" w:eastAsia="仿宋_GB2312" w:cs="仿宋_GB2312"/>
          <w:sz w:val="32"/>
          <w:szCs w:val="32"/>
        </w:rPr>
        <w:t>自行查阅与下载。</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（三）比选申请人应在报价期间适时关注上述网站，并及时下载比选相关内容，比选人不再另行通知。如有问题或疑问，应及时与比选人联系，因未能及时下载通知书（如有）的相关责任由比选申请人自行承担。</w:t>
      </w:r>
    </w:p>
    <w:p>
      <w:pPr>
        <w:spacing w:after="0" w:line="500" w:lineRule="exact"/>
        <w:ind w:firstLine="640" w:firstLineChars="200"/>
        <w:jc w:val="both"/>
        <w:rPr>
          <w:rFonts w:ascii="仿宋_GB2312" w:hAnsi="仿宋_GB2312" w:eastAsia="仿宋_GB2312" w:cs="仿宋_GB2312"/>
          <w:sz w:val="28"/>
          <w:szCs w:val="28"/>
        </w:rPr>
      </w:pPr>
      <w:r>
        <w:rPr>
          <w:rFonts w:hint="eastAsia" w:ascii="仿宋_GB2312" w:hAnsi="仿宋_GB2312" w:eastAsia="仿宋_GB2312" w:cs="仿宋_GB2312"/>
          <w:sz w:val="32"/>
          <w:szCs w:val="32"/>
        </w:rPr>
        <w:t>（四）若因疫情等其他政策原因，造成比选不能开展、延期开展或者采用其他线上方式开展，公司将及时在官网公布，并不承担任何责任。</w:t>
      </w:r>
    </w:p>
    <w:p>
      <w:pPr>
        <w:numPr>
          <w:ilvl w:val="0"/>
          <w:numId w:val="1"/>
        </w:numPr>
        <w:spacing w:after="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比选文件答疑</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（一）比选疑问提交方式：比选申请人以书面方式提交需要澄清的问题（须盖比选申请人公章）。</w:t>
      </w:r>
    </w:p>
    <w:p>
      <w:pPr>
        <w:spacing w:after="0" w:line="500" w:lineRule="exact"/>
        <w:ind w:firstLine="640" w:firstLineChars="200"/>
        <w:jc w:val="both"/>
        <w:rPr>
          <w:rFonts w:ascii="仿宋_GB2312" w:hAnsi="仿宋_GB2312" w:eastAsia="仿宋_GB2312" w:cs="仿宋_GB2312"/>
          <w:sz w:val="28"/>
          <w:szCs w:val="24"/>
          <w:highlight w:val="none"/>
        </w:rPr>
      </w:pPr>
      <w:r>
        <w:rPr>
          <w:rFonts w:hint="eastAsia" w:ascii="仿宋_GB2312" w:hAnsi="仿宋_GB2312" w:eastAsia="仿宋_GB2312" w:cs="仿宋_GB2312"/>
          <w:sz w:val="32"/>
          <w:szCs w:val="32"/>
        </w:rPr>
        <w:t>（二）比选人在比选疑问提交截止时间后1日内予以答疑，本项目比选疑问提交截止时间为2022年8月10日17时00分（北京时间）。</w:t>
      </w:r>
    </w:p>
    <w:p>
      <w:pPr>
        <w:numPr>
          <w:ilvl w:val="0"/>
          <w:numId w:val="1"/>
        </w:numPr>
        <w:spacing w:after="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比选申请文件的递交</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（一）比选申请文件递交及截止时间：递交时间为2022年8月 11 日上午9:30--10:00时（北京时间），截止时间为2022年8月11日上午10:00时（北京时间）。</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（二）比选文件递交地点：成都市高新区天府一街535号两江国际A座41层本项目开标室。</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（三）逾期送达的比选申请文件，比选人不予受理。</w:t>
      </w:r>
    </w:p>
    <w:p>
      <w:pPr>
        <w:spacing w:after="0" w:line="500" w:lineRule="exact"/>
        <w:ind w:firstLine="480" w:firstLineChars="150"/>
        <w:jc w:val="both"/>
        <w:rPr>
          <w:rFonts w:ascii="仿宋_GB2312" w:hAnsi="仿宋_GB2312" w:eastAsia="仿宋_GB2312" w:cs="仿宋_GB2312"/>
          <w:sz w:val="28"/>
          <w:szCs w:val="28"/>
        </w:rPr>
      </w:pPr>
      <w:r>
        <w:rPr>
          <w:rFonts w:hint="eastAsia" w:ascii="仿宋_GB2312" w:hAnsi="仿宋_GB2312" w:eastAsia="仿宋_GB2312" w:cs="仿宋_GB2312"/>
          <w:sz w:val="32"/>
          <w:szCs w:val="32"/>
        </w:rPr>
        <w:t>（四）比选申请文件概不退还。</w:t>
      </w:r>
    </w:p>
    <w:p>
      <w:pPr>
        <w:numPr>
          <w:ilvl w:val="0"/>
          <w:numId w:val="1"/>
        </w:numPr>
        <w:spacing w:after="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联系方式</w:t>
      </w:r>
    </w:p>
    <w:p>
      <w:pPr>
        <w:spacing w:after="0" w:line="500" w:lineRule="exact"/>
        <w:ind w:firstLine="480" w:firstLineChars="1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 选 人：四川蜀道铁路运营管理集团有限责任公司</w:t>
      </w:r>
    </w:p>
    <w:p>
      <w:pPr>
        <w:spacing w:after="0" w:line="500" w:lineRule="exact"/>
        <w:ind w:firstLine="480" w:firstLineChars="1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址：成都市高新区天府一街535号两江国际A座41层</w:t>
      </w:r>
    </w:p>
    <w:p>
      <w:pPr>
        <w:spacing w:after="0" w:line="500" w:lineRule="exact"/>
        <w:ind w:firstLine="480" w:firstLineChars="1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    编：610094</w:t>
      </w:r>
    </w:p>
    <w:p>
      <w:pPr>
        <w:spacing w:after="0" w:line="500" w:lineRule="exact"/>
        <w:ind w:firstLine="480" w:firstLineChars="1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 系 人：田女士</w:t>
      </w:r>
    </w:p>
    <w:p>
      <w:pPr>
        <w:spacing w:after="0" w:line="500" w:lineRule="exact"/>
        <w:ind w:firstLine="480" w:firstLineChars="1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电    话：18581881333   </w:t>
      </w:r>
    </w:p>
    <w:p>
      <w:pPr>
        <w:pStyle w:val="29"/>
      </w:pPr>
    </w:p>
    <w:p>
      <w:pPr>
        <w:rPr>
          <w:highlight w:val="none"/>
        </w:rPr>
      </w:pPr>
    </w:p>
    <w:p>
      <w:pPr>
        <w:spacing w:after="0" w:line="500" w:lineRule="exact"/>
        <w:ind w:firstLine="420" w:firstLineChars="150"/>
        <w:jc w:val="both"/>
        <w:rPr>
          <w:rFonts w:hint="eastAsia" w:ascii="仿宋_GB2312" w:hAnsi="仿宋_GB2312" w:eastAsia="仿宋_GB2312" w:cs="仿宋_GB2312"/>
          <w:sz w:val="32"/>
          <w:szCs w:val="32"/>
          <w:lang w:val="en-US" w:eastAsia="zh-CN"/>
        </w:rPr>
      </w:pPr>
      <w:r>
        <w:rPr>
          <w:rFonts w:ascii="仿宋_GB2312" w:hAnsi="仿宋_GB2312" w:eastAsia="仿宋_GB2312" w:cs="仿宋_GB2312"/>
          <w:b w:val="0"/>
          <w:bCs w:val="0"/>
          <w:kern w:val="0"/>
          <w:sz w:val="28"/>
          <w:szCs w:val="24"/>
          <w:highlight w:val="none"/>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2022年8月1</w:t>
      </w:r>
      <w:bookmarkStart w:id="4" w:name="_Toc30893_WPSOffice_Level1"/>
      <w:r>
        <w:rPr>
          <w:rFonts w:hint="eastAsia" w:ascii="仿宋_GB2312" w:hAnsi="仿宋_GB2312" w:eastAsia="仿宋_GB2312" w:cs="仿宋_GB2312"/>
          <w:sz w:val="32"/>
          <w:szCs w:val="32"/>
          <w:lang w:val="en-US" w:eastAsia="zh-CN"/>
        </w:rPr>
        <w:t xml:space="preserve">日 </w:t>
      </w:r>
    </w:p>
    <w:p>
      <w:pPr>
        <w:spacing w:after="0" w:line="500" w:lineRule="exact"/>
        <w:ind w:firstLine="480" w:firstLineChars="15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bookmarkEnd w:id="4"/>
    <w:p>
      <w:pPr>
        <w:spacing w:after="0" w:line="500" w:lineRule="exact"/>
        <w:jc w:val="center"/>
        <w:outlineLvl w:val="0"/>
        <w:rPr>
          <w:rFonts w:hint="eastAsia" w:ascii="方正小标宋简体" w:hAnsi="方正小标宋简体" w:eastAsia="方正小标宋简体" w:cs="方正小标宋简体"/>
          <w:bCs/>
          <w:kern w:val="44"/>
          <w:sz w:val="44"/>
          <w:szCs w:val="44"/>
        </w:rPr>
      </w:pPr>
      <w:bookmarkStart w:id="5" w:name="_Toc96874881"/>
      <w:r>
        <w:rPr>
          <w:rFonts w:hint="eastAsia" w:ascii="方正小标宋简体" w:hAnsi="方正小标宋简体" w:eastAsia="方正小标宋简体" w:cs="方正小标宋简体"/>
          <w:bCs/>
          <w:kern w:val="44"/>
          <w:sz w:val="44"/>
          <w:szCs w:val="44"/>
        </w:rPr>
        <w:t>第二章  比选申请人须知</w:t>
      </w:r>
      <w:bookmarkEnd w:id="5"/>
    </w:p>
    <w:p>
      <w:pPr>
        <w:numPr>
          <w:ilvl w:val="0"/>
          <w:numId w:val="2"/>
        </w:numPr>
        <w:spacing w:after="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项目名称</w:t>
      </w:r>
    </w:p>
    <w:p>
      <w:pPr>
        <w:spacing w:after="0" w:line="500" w:lineRule="exact"/>
        <w:ind w:firstLine="640" w:firstLineChars="200"/>
        <w:jc w:val="both"/>
        <w:rPr>
          <w:rFonts w:ascii="仿宋_GB2312" w:hAnsi="仿宋_GB2312" w:eastAsia="仿宋_GB2312" w:cs="仿宋_GB2312"/>
          <w:sz w:val="28"/>
        </w:rPr>
      </w:pPr>
      <w:r>
        <w:rPr>
          <w:rFonts w:hint="eastAsia" w:ascii="仿宋_GB2312" w:hAnsi="仿宋_GB2312" w:eastAsia="仿宋_GB2312" w:cs="仿宋_GB2312"/>
          <w:sz w:val="32"/>
          <w:szCs w:val="32"/>
        </w:rPr>
        <w:t>四川蜀道铁路运营管理集团有限责任公司2022年常年税务顾问服务项目</w:t>
      </w:r>
      <w:r>
        <w:rPr>
          <w:rFonts w:hint="eastAsia" w:ascii="仿宋_GB2312" w:hAnsi="仿宋_GB2312" w:eastAsia="仿宋_GB2312" w:cs="仿宋_GB2312"/>
          <w:sz w:val="28"/>
        </w:rPr>
        <w:t>。</w:t>
      </w:r>
    </w:p>
    <w:p>
      <w:pPr>
        <w:numPr>
          <w:ilvl w:val="0"/>
          <w:numId w:val="2"/>
        </w:numPr>
        <w:spacing w:after="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税务顾问的资格要求</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最低资格要求详见第一章比选公告中的相关要求。最低资格以下的是不符合条件的申请人，比选人不予接受。如比选申请人实际上并未达到最低要求，因提供虚假资料而致使参加比选而中选，中选自始无效。</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业绩要求详见第一章比选公告中的税务师事务所及服务团队资格要求。</w:t>
      </w:r>
    </w:p>
    <w:p>
      <w:pPr>
        <w:numPr>
          <w:ilvl w:val="0"/>
          <w:numId w:val="2"/>
        </w:numPr>
        <w:spacing w:after="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最高限价</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本项目最高限价为年服务费用（含税）17万元（大写：人民币壹拾柒万元）。</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比选申请人的报价应包括中选后需完成合同规定所有工作内容需承担的服务费用、税金等一切费用与利润，并考虑应承担的风险和责任，包干使用。</w:t>
      </w:r>
    </w:p>
    <w:p>
      <w:pPr>
        <w:numPr>
          <w:ilvl w:val="0"/>
          <w:numId w:val="2"/>
        </w:numPr>
        <w:spacing w:after="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比选费用</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申请人在比选过程中的一切费用，不论中选与否，均由申请人自行承担。</w:t>
      </w:r>
    </w:p>
    <w:p>
      <w:pPr>
        <w:numPr>
          <w:ilvl w:val="0"/>
          <w:numId w:val="2"/>
        </w:numPr>
        <w:spacing w:after="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比选有效期</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比选有效期为提交比选申请文件的截止日起60日内。</w:t>
      </w:r>
    </w:p>
    <w:p>
      <w:pPr>
        <w:numPr>
          <w:ilvl w:val="0"/>
          <w:numId w:val="2"/>
        </w:numPr>
        <w:spacing w:after="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比选申请文件装订要求</w:t>
      </w:r>
    </w:p>
    <w:p>
      <w:pPr>
        <w:spacing w:after="0" w:line="500" w:lineRule="exact"/>
        <w:ind w:firstLine="640" w:firstLineChars="200"/>
        <w:jc w:val="both"/>
        <w:rPr>
          <w:rFonts w:hint="eastAsia"/>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所有参加比选的比选申请人应按第三章比选申请文件的格式中的要求提交比选申请文件，比选申请文件应用简体中文写成，比选申请文件除签名外，全部用不褪色的墨水（粉）打印。比选申请文件正本一份，副本两份，比选申请文件的正、副本一起封装在封套里，封套应加贴封条，并在封套的封口处加盖单位公章或密封章或法定代表人（或授权代理人）的亲笔签字。比选申请文件的封套上应注明申请项目名称和比选申请人名称并加盖公章。</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未按要求密封、标记和投递的比选申请文件，比选人有权拒收。</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比选申请文件的正本与副本（副本可以是正本的复印件或影印件）应采用粘贴或装订方式分别装订成册，不得采用活页夹等可随时拆换的方式装订，同时比选申请文件应逐页连续编码，否则，比选人将对比选申请文件页数的丢失、散落或其他后果不承担任何责任。</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除比选申请人对错误处必须修改外，全套比选申请文件应无涂改或行间插字和增删。如有修改，修改处应由比选申请文件签字人签字或加盖比选申请人公章。</w:t>
      </w:r>
    </w:p>
    <w:p>
      <w:pPr>
        <w:numPr>
          <w:ilvl w:val="0"/>
          <w:numId w:val="2"/>
        </w:numPr>
        <w:spacing w:after="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比选申请文件的内容</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比选申请函</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法定代表人（负责人）身份证明</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授权委托书（如有）</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税务师事务所介绍</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拟配备服务团队</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拟配备服务团队常年税务顾问业绩</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信誉承诺函</w:t>
      </w:r>
    </w:p>
    <w:p>
      <w:pPr>
        <w:spacing w:after="0" w:line="500" w:lineRule="exact"/>
        <w:ind w:firstLine="640" w:firstLineChars="200"/>
        <w:jc w:val="both"/>
        <w:rPr>
          <w:rFonts w:ascii="仿宋_GB2312" w:hAnsi="仿宋_GB2312" w:eastAsia="仿宋_GB2312" w:cs="仿宋_GB2312"/>
          <w:sz w:val="28"/>
          <w:szCs w:val="28"/>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服务方案</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其他资料（如有）</w:t>
      </w:r>
    </w:p>
    <w:p>
      <w:pPr>
        <w:numPr>
          <w:ilvl w:val="0"/>
          <w:numId w:val="2"/>
        </w:numPr>
        <w:spacing w:after="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比选申请文件的开启</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递交比选申请文件截止时间准时开标，比选人邀请比选申请人参加开标。比选申请文件递交截止时间后，如果比选申请人未达到三家的比选要求，将不开启比选申请文件并将再次发布比选公告。</w:t>
      </w:r>
    </w:p>
    <w:p>
      <w:pPr>
        <w:numPr>
          <w:ilvl w:val="0"/>
          <w:numId w:val="2"/>
        </w:numPr>
        <w:spacing w:after="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比选评标办法</w:t>
      </w:r>
    </w:p>
    <w:p>
      <w:pPr>
        <w:spacing w:after="0" w:line="500" w:lineRule="exact"/>
        <w:ind w:firstLine="640" w:firstLineChars="200"/>
        <w:jc w:val="both"/>
        <w:rPr>
          <w:rFonts w:ascii="仿宋_GB2312" w:hAnsi="仿宋_GB2312" w:eastAsia="仿宋_GB2312" w:cs="仿宋_GB2312"/>
          <w:sz w:val="28"/>
        </w:rPr>
      </w:pPr>
      <w:r>
        <w:rPr>
          <w:rFonts w:hint="eastAsia" w:ascii="仿宋_GB2312" w:hAnsi="仿宋_GB2312" w:eastAsia="仿宋_GB2312" w:cs="仿宋_GB2312"/>
          <w:sz w:val="32"/>
          <w:szCs w:val="32"/>
        </w:rPr>
        <w:t>本次比选采用综合评分法。</w:t>
      </w:r>
    </w:p>
    <w:p>
      <w:pPr>
        <w:numPr>
          <w:ilvl w:val="0"/>
          <w:numId w:val="2"/>
        </w:numPr>
        <w:spacing w:after="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评审程序</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（一）评审委员会集中审查比选申请文件，按第四章评审办法进行评审，对不符合第一章比选公告中最低资格要求的比选申请人作否决处理，对符合比选资格要求的比选申请人按照比选文件的要求进行打分。</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（二）中选原则：根据《评分细则》逐项打分，评审委员会推荐得分靠前的1-3名中选候选人报比选人，最终中选人由比选人根据评审报告确定。</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（二）对比选文件的内容理解有争议的，由比选人按照比选文件所使用的词句、比选文件的有关条款、比选的目的、习惯以及诚实信用原则，确定该条款的真实意思，有两种以上解释的，解释权归评审委员会。</w:t>
      </w:r>
    </w:p>
    <w:p>
      <w:pPr>
        <w:numPr>
          <w:ilvl w:val="0"/>
          <w:numId w:val="2"/>
        </w:numPr>
        <w:spacing w:after="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比选结果公示及通知</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比选人将中选候选人名单在蜀道投资集团有限责任公司网站（https://www.shudaojt.com/）公示3日。公示结束且未收到任何质疑或投诉意见，比选人以书面形式向中选人发出中选通知书。</w:t>
      </w:r>
    </w:p>
    <w:p>
      <w:pPr>
        <w:numPr>
          <w:ilvl w:val="0"/>
          <w:numId w:val="2"/>
        </w:numPr>
        <w:spacing w:after="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合同签订</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中选通知书发出后，比选人与中选人签订相关合同。</w:t>
      </w:r>
    </w:p>
    <w:p>
      <w:pPr>
        <w:numPr>
          <w:ilvl w:val="0"/>
          <w:numId w:val="2"/>
        </w:numPr>
        <w:spacing w:after="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补充说明</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本比选文件中约定的“以上”、“至少”、“不少于”包括本数，“以下”不包括本数。</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比选人因疫情防控等其他政策原因，造成本次比选活动暂停、延后或终止的，比选申请人应充分理解并支持防疫工作开展，比选人不承担由此造成的损失。</w:t>
      </w:r>
    </w:p>
    <w:p>
      <w:pPr>
        <w:spacing w:after="0" w:line="500" w:lineRule="exact"/>
        <w:ind w:firstLine="640" w:firstLineChars="200"/>
        <w:jc w:val="both"/>
        <w:rPr>
          <w:rFonts w:ascii="仿宋_GB2312" w:hAnsi="仿宋_GB2312" w:eastAsia="仿宋_GB2312" w:cs="仿宋_GB2312"/>
          <w:sz w:val="28"/>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比选申请人应提前知晓并配合参加本次比选活动（领取比选文件、递交比选申请文件等）所涉及的疫情防控要求，一切责任由比选申请人负责。</w:t>
      </w:r>
      <w:r>
        <w:rPr>
          <w:rFonts w:ascii="方正小标宋简体" w:hAnsi="方正小标宋简体" w:eastAsia="方正小标宋简体" w:cs="方正小标宋简体"/>
          <w:sz w:val="36"/>
          <w:szCs w:val="36"/>
        </w:rPr>
        <w:br w:type="page"/>
      </w:r>
    </w:p>
    <w:p>
      <w:pPr>
        <w:spacing w:after="0" w:line="500" w:lineRule="exact"/>
        <w:jc w:val="center"/>
        <w:outlineLvl w:val="0"/>
        <w:rPr>
          <w:rFonts w:hint="eastAsia" w:ascii="方正小标宋简体" w:hAnsi="方正小标宋简体" w:eastAsia="方正小标宋简体" w:cs="方正小标宋简体"/>
          <w:bCs/>
          <w:kern w:val="44"/>
          <w:sz w:val="44"/>
          <w:szCs w:val="44"/>
        </w:rPr>
      </w:pPr>
      <w:bookmarkStart w:id="6" w:name="_Toc96874882"/>
      <w:r>
        <w:rPr>
          <w:rFonts w:hint="eastAsia" w:ascii="方正小标宋简体" w:hAnsi="方正小标宋简体" w:eastAsia="方正小标宋简体" w:cs="方正小标宋简体"/>
          <w:bCs/>
          <w:kern w:val="44"/>
          <w:sz w:val="44"/>
          <w:szCs w:val="44"/>
        </w:rPr>
        <w:t>第三章  比选人要求</w:t>
      </w:r>
      <w:bookmarkEnd w:id="6"/>
    </w:p>
    <w:p>
      <w:pPr>
        <w:numPr>
          <w:ilvl w:val="0"/>
          <w:numId w:val="3"/>
        </w:numPr>
        <w:spacing w:after="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公司简介</w:t>
      </w:r>
    </w:p>
    <w:p>
      <w:pPr>
        <w:spacing w:after="0" w:line="500" w:lineRule="exact"/>
        <w:ind w:firstLine="640" w:firstLineChars="200"/>
        <w:jc w:val="both"/>
        <w:rPr>
          <w:rFonts w:hint="eastAsia"/>
        </w:rPr>
      </w:pPr>
      <w:r>
        <w:rPr>
          <w:rFonts w:hint="eastAsia" w:ascii="仿宋_GB2312" w:hAnsi="仿宋_GB2312" w:eastAsia="仿宋_GB2312" w:cs="仿宋_GB2312"/>
          <w:sz w:val="32"/>
          <w:szCs w:val="32"/>
        </w:rPr>
        <w:t>四川蜀道铁路运营管理集团有限责任公司（以下简称“蜀道铁路运营集团”或“公司”），是蜀道投资集团有限责任公司的全资直属子企业，以专业化整合方式组建，于2021年12月29日揭牌成立，注册资本10亿元。蜀道铁路运营集团作为四川省唯一地方铁路特许经营企业，致力于打造蜀道铁路运营管理专业化平台，充分发挥合资铁路平台优势，积极布局铁路物流、沿线资源开发等多元经营产业，深挖产业链价值，打造新的利润增长极，有效支撑蜀道集团铁路产业高质量发展。</w:t>
      </w:r>
    </w:p>
    <w:p>
      <w:pPr>
        <w:numPr>
          <w:ilvl w:val="0"/>
          <w:numId w:val="3"/>
        </w:numPr>
        <w:spacing w:after="0" w:line="500" w:lineRule="exact"/>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服务范围</w:t>
      </w:r>
    </w:p>
    <w:p>
      <w:pPr>
        <w:spacing w:after="0" w:line="50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蜀道铁路运营集团本部及所属公司</w:t>
      </w:r>
    </w:p>
    <w:p>
      <w:pPr>
        <w:numPr>
          <w:ilvl w:val="0"/>
          <w:numId w:val="3"/>
        </w:numPr>
        <w:spacing w:after="0" w:line="5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服务内容</w:t>
      </w:r>
    </w:p>
    <w:p>
      <w:pPr>
        <w:pStyle w:val="50"/>
        <w:numPr>
          <w:ilvl w:val="0"/>
          <w:numId w:val="4"/>
        </w:num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为公司重大事项提供税务筹划并参与过程管理</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根据甲方要求，有前瞻性的对各重要经济事项（项目）的经营模式、业务流程、管理内容等进行设计安排，规避税务风险，合法降低综合税负。包括但不限于以下方面：</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针对甲方综合开发顶层需求，设计方案并辅导落地实施，乙方会随时接受咨询并在三天内进行邮件、书面回复。</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针对甲方股权收构、资产收购、吸收合并、增资扩股等业务进行税收整体筹划，针对具体案例具体分析原则提供咨询，确保三天内进行回复。</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针对甲方组织架构以及平台公司的增设和甲方战略发展进行税收筹划。根据甲方实际发展情况，定期对甲方的组织构架进行检查，对存在的不合理或需要改进的地方及时向甲方提出，并出具报告。</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根据甲方实际经营情况，合理筹划甲方的资金流，以获得资金的最大利用价值。</w:t>
      </w:r>
    </w:p>
    <w:p>
      <w:pPr>
        <w:pStyle w:val="2"/>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5.为甲方</w:t>
      </w:r>
      <w:bookmarkStart w:id="38" w:name="_GoBack"/>
      <w:bookmarkEnd w:id="38"/>
      <w:r>
        <w:rPr>
          <w:rFonts w:hint="eastAsia" w:ascii="仿宋_GB2312" w:hAnsi="仿宋_GB2312" w:eastAsia="仿宋_GB2312" w:cs="仿宋_GB2312"/>
          <w:color w:val="auto"/>
          <w:sz w:val="32"/>
          <w:szCs w:val="32"/>
          <w:lang w:val="en-US" w:eastAsia="zh-CN" w:bidi="ar-SA"/>
        </w:rPr>
        <w:t>个人所得税的筹划及建议方案。</w:t>
      </w:r>
    </w:p>
    <w:p>
      <w:pPr>
        <w:pStyle w:val="50"/>
        <w:numPr>
          <w:ilvl w:val="0"/>
          <w:numId w:val="4"/>
        </w:num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参与重要经济合同涉税评审及检查</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甲方需求，针对甲方后期签定的重大合同进行财务税收审核，对超过100万以上的合同进行财税合同评审并出具税务意见（同类别的只审核其中一个合同），从源头规避税务风险，合法降低税负以确保决策中税务事项的科学性。</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随时接受财务对个别合同的咨询。</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加强对甲方签署合同的审查，对重大合同（超过100万的合同）抽查率达到50%及以上，小额合同抽查率达到10%。</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针对甲方前期已发生的各项重大经济合同（超过100万的合同）进行税务审核，并出具意见、建议报告。</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乙方每季度派人到现场进行税收检查并出具报告。</w:t>
      </w:r>
    </w:p>
    <w:p>
      <w:pPr>
        <w:pStyle w:val="50"/>
        <w:numPr>
          <w:ilvl w:val="0"/>
          <w:numId w:val="4"/>
        </w:num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日常财税答疑及提供解决办法</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乙方将根据甲方的业务发展需求，每季度走访并记录随访录，提供税收法律、法规和政策方面的咨询，纳税申报操作环节、会计处理及具体方法的咨询；同时对提出的税收政策方面的疑难问题进行解答。</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接受委托后，将根据甲方经营业务性质，分析各税种可能存在的风险，重点解决存在的涉税事项，做好行业疑难问题解答，为企业相关税收优惠政策享用提供充分的法律法规依据，同时在征收管理环节为企业提供最准确的专业知识。</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常涉税解答对象包含甲方相关财务人员以及部分业务人员。通过电话、QQ、邮件等形式解答甲方相关人员日常工作中遇到的财税问题。甲方相关人员可随时向我方电话咨询有关涉税问题，对于特殊情况也可到甲方指定的地点提供服务。</w:t>
      </w:r>
    </w:p>
    <w:p>
      <w:pPr>
        <w:pStyle w:val="50"/>
        <w:numPr>
          <w:ilvl w:val="0"/>
          <w:numId w:val="4"/>
        </w:num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新政策解读与分享</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时向甲方传递各级财税部门出台的最新政策以及专家团队的解读，对特定政策文件进行解释。根据甲方经营范围，分析年度经济收入类型、性质，运用增值税、所得税等税收优惠政策，为甲方提供比较精准的税收优惠政策建议。</w:t>
      </w:r>
    </w:p>
    <w:p>
      <w:pPr>
        <w:pStyle w:val="50"/>
        <w:numPr>
          <w:ilvl w:val="0"/>
          <w:numId w:val="4"/>
        </w:num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纳税遵从日常健康体检及特别事项专门检查</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协助甲方开展税收专项自查工作，并对税务自查评估过程中发现的问题提供解决方案，确保甲方的税务操作合规合法，最大限度的规避税务风险。</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会计核算方式、财务处理提供咨询服务。每次对甲方财务凭证进行不少于50%的抽查，根据企业会计准则以及税收相关规定，对甲方财务凭证以及税收账务处理存在的问题及时提出整改建议，并指导甲方进行改进，对改进效果予以跟踪，形成闭环监控管理，从而逐步规范相关财税工作。</w:t>
      </w:r>
    </w:p>
    <w:p>
      <w:pPr>
        <w:pStyle w:val="50"/>
        <w:numPr>
          <w:ilvl w:val="0"/>
          <w:numId w:val="4"/>
        </w:num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协助甲方与税务部门的交流、沟通</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针对甲方遇到的疑难问题，如增值税纳税义务时间、统借统还等问题，利用乙方良好的沟通渠道，争取取得更有利于甲方的政策支持，以达到及时准确纳税之目的，规避涉税风险。</w:t>
      </w:r>
    </w:p>
    <w:p>
      <w:pPr>
        <w:pStyle w:val="50"/>
        <w:numPr>
          <w:ilvl w:val="0"/>
          <w:numId w:val="4"/>
        </w:num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协助甲方与政府相关部门的交流、沟通</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根据甲方的经营规模与业绩，协助甲方与政府相关部门沟通交流，及时全方位享受到政府给予企业的各种奖励和政策支持。</w:t>
      </w:r>
    </w:p>
    <w:p>
      <w:pPr>
        <w:pStyle w:val="50"/>
        <w:numPr>
          <w:ilvl w:val="0"/>
          <w:numId w:val="4"/>
        </w:numPr>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所得税汇算清缴</w:t>
      </w:r>
    </w:p>
    <w:p>
      <w:pPr>
        <w:spacing w:after="0" w:line="5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审核甲方的会计凭证、会计账务、审计报告、重要合同等全部纳税申报资料，依据企业所得税法相关规定，对甲方年度企业所得税汇算清缴出具审核报告，协助铁路物流公司和合资铁路成自公司企业所得税汇算清缴。</w:t>
      </w:r>
    </w:p>
    <w:p>
      <w:pPr>
        <w:numPr>
          <w:ilvl w:val="0"/>
          <w:numId w:val="3"/>
        </w:numPr>
        <w:spacing w:after="0" w:line="5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服务期限</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自合同签订之日起算，合同期限为一年。</w:t>
      </w:r>
    </w:p>
    <w:p>
      <w:pPr>
        <w:numPr>
          <w:ilvl w:val="0"/>
          <w:numId w:val="3"/>
        </w:numPr>
        <w:spacing w:after="0" w:line="5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服务方式</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税务顾问单位须按照服务内容工作要求，为公司选派熟悉业务，并具有丰富经验的专业税务团队提供税务顾问服务。</w:t>
      </w:r>
    </w:p>
    <w:p>
      <w:pPr>
        <w:numPr>
          <w:ilvl w:val="0"/>
          <w:numId w:val="3"/>
        </w:numPr>
        <w:spacing w:after="0" w:line="5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服务要求</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比选人重大商务谈判、协商，需税务顾问团队集中工作较长时间或出差时，由比选人提前与本项目负责人联系；由本项目负责人根据比选人的需要做出相应安排。</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根据比选人的委托或授权，比选申请人通过调查研究、参加有关会议、参与商务谈判、个别咨询、委托代办等形式开展税务顾问工作。</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根据工作需要可随时通知拟派税务顾问服务团队人员提供现场或远程服务。</w:t>
      </w:r>
    </w:p>
    <w:p>
      <w:pPr>
        <w:spacing w:after="0" w:line="500" w:lineRule="exact"/>
        <w:ind w:firstLine="720" w:firstLineChars="200"/>
        <w:rPr>
          <w:rFonts w:ascii="方正小标宋简体" w:hAnsi="方正小标宋简体" w:eastAsia="方正小标宋简体" w:cs="方正小标宋简体"/>
          <w:sz w:val="36"/>
          <w:szCs w:val="36"/>
        </w:rPr>
      </w:pPr>
      <w:r>
        <w:rPr>
          <w:rFonts w:ascii="方正小标宋简体" w:hAnsi="方正小标宋简体" w:eastAsia="方正小标宋简体" w:cs="方正小标宋简体"/>
          <w:sz w:val="36"/>
          <w:szCs w:val="36"/>
        </w:rPr>
        <w:br w:type="page"/>
      </w:r>
    </w:p>
    <w:p>
      <w:pPr>
        <w:spacing w:after="0" w:line="500" w:lineRule="exact"/>
        <w:jc w:val="center"/>
        <w:outlineLvl w:val="0"/>
        <w:rPr>
          <w:rFonts w:hint="eastAsia" w:ascii="方正小标宋简体" w:hAnsi="方正小标宋简体" w:eastAsia="方正小标宋简体" w:cs="方正小标宋简体"/>
          <w:bCs/>
          <w:kern w:val="44"/>
          <w:sz w:val="44"/>
          <w:szCs w:val="44"/>
        </w:rPr>
      </w:pPr>
      <w:bookmarkStart w:id="7" w:name="_Toc96874883"/>
      <w:r>
        <w:rPr>
          <w:rFonts w:hint="eastAsia" w:ascii="方正小标宋简体" w:hAnsi="方正小标宋简体" w:eastAsia="方正小标宋简体" w:cs="方正小标宋简体"/>
          <w:bCs/>
          <w:kern w:val="44"/>
          <w:sz w:val="44"/>
          <w:szCs w:val="44"/>
        </w:rPr>
        <w:t>第四章  比选申请文件的格式</w:t>
      </w:r>
      <w:bookmarkEnd w:id="7"/>
    </w:p>
    <w:p>
      <w:pPr>
        <w:jc w:val="center"/>
        <w:rPr>
          <w:rFonts w:asciiTheme="majorEastAsia" w:hAnsiTheme="majorEastAsia" w:eastAsiaTheme="majorEastAsia"/>
          <w:b/>
          <w:sz w:val="52"/>
        </w:rPr>
      </w:pP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(1)比选申请人应按照本章提供的比选申请文件格式要求，提交比选申请文件；本章未提供格式的，由比选申请人自主编制。</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(2)如比选申请人税务师事务所负责人递交比选申请文件，不用填写“三、委托授权书”，以下章节的序号依次递补。</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(3)本章所附格式大小只是范例，可另附页。</w:t>
      </w:r>
    </w:p>
    <w:p>
      <w:pPr>
        <w:jc w:val="center"/>
        <w:rPr>
          <w:rFonts w:asciiTheme="majorEastAsia" w:hAnsiTheme="majorEastAsia" w:eastAsiaTheme="majorEastAsia"/>
          <w:b/>
          <w:sz w:val="52"/>
        </w:rPr>
      </w:pPr>
      <w:r>
        <w:rPr>
          <w:rFonts w:asciiTheme="majorEastAsia" w:hAnsiTheme="majorEastAsia" w:eastAsiaTheme="majorEastAsia"/>
          <w:b/>
          <w:sz w:val="52"/>
        </w:rPr>
        <w:br w:type="page"/>
      </w:r>
    </w:p>
    <w:p>
      <w:pPr>
        <w:spacing w:line="500" w:lineRule="exact"/>
        <w:jc w:val="right"/>
        <w:rPr>
          <w:rFonts w:ascii="方正小标宋简体" w:hAnsi="黑体" w:eastAsia="方正小标宋简体" w:cs="黑体"/>
          <w:kern w:val="2"/>
          <w:sz w:val="44"/>
          <w:szCs w:val="44"/>
        </w:rPr>
      </w:pPr>
      <w:r>
        <w:rPr>
          <w:rFonts w:hint="eastAsia" w:ascii="仿宋_GB2312" w:hAnsi="宋体" w:eastAsia="仿宋_GB2312" w:cs="宋体"/>
          <w:color w:val="000000"/>
          <w:sz w:val="36"/>
        </w:rPr>
        <w:t>（正本/副本）</w:t>
      </w:r>
    </w:p>
    <w:p>
      <w:pPr>
        <w:spacing w:line="500" w:lineRule="exact"/>
        <w:jc w:val="center"/>
        <w:rPr>
          <w:rFonts w:ascii="方正小标宋简体" w:hAnsi="黑体" w:eastAsia="方正小标宋简体" w:cs="黑体"/>
          <w:kern w:val="2"/>
          <w:sz w:val="44"/>
          <w:szCs w:val="44"/>
        </w:rPr>
      </w:pPr>
    </w:p>
    <w:p>
      <w:pPr>
        <w:spacing w:line="500" w:lineRule="exact"/>
        <w:jc w:val="center"/>
        <w:rPr>
          <w:rFonts w:ascii="方正小标宋简体" w:hAnsi="黑体" w:eastAsia="方正小标宋简体" w:cs="黑体"/>
          <w:kern w:val="2"/>
          <w:sz w:val="44"/>
          <w:szCs w:val="44"/>
        </w:rPr>
      </w:pPr>
      <w:r>
        <w:rPr>
          <w:rFonts w:hint="eastAsia" w:ascii="方正小标宋简体" w:hAnsi="黑体" w:eastAsia="方正小标宋简体" w:cs="黑体"/>
          <w:kern w:val="2"/>
          <w:sz w:val="44"/>
          <w:szCs w:val="44"/>
        </w:rPr>
        <w:t>四川蜀道铁路运营管理集团有限责任公司</w:t>
      </w:r>
    </w:p>
    <w:p>
      <w:pPr>
        <w:jc w:val="center"/>
        <w:rPr>
          <w:rFonts w:ascii="黑体" w:hAnsi="黑体" w:eastAsia="黑体" w:cs="黑体"/>
          <w:b/>
          <w:sz w:val="52"/>
        </w:rPr>
      </w:pPr>
      <w:r>
        <w:rPr>
          <w:rFonts w:hint="eastAsia" w:ascii="方正小标宋简体" w:hAnsi="黑体" w:eastAsia="方正小标宋简体" w:cs="黑体"/>
          <w:kern w:val="2"/>
          <w:sz w:val="44"/>
          <w:szCs w:val="44"/>
        </w:rPr>
        <w:t>2</w:t>
      </w:r>
      <w:r>
        <w:rPr>
          <w:rFonts w:ascii="方正小标宋简体" w:hAnsi="黑体" w:eastAsia="方正小标宋简体" w:cs="黑体"/>
          <w:kern w:val="2"/>
          <w:sz w:val="44"/>
          <w:szCs w:val="44"/>
        </w:rPr>
        <w:t>022年</w:t>
      </w:r>
      <w:r>
        <w:rPr>
          <w:rFonts w:hint="eastAsia" w:ascii="方正小标宋简体" w:hAnsi="黑体" w:eastAsia="方正小标宋简体" w:cs="黑体"/>
          <w:kern w:val="2"/>
          <w:sz w:val="44"/>
          <w:szCs w:val="44"/>
        </w:rPr>
        <w:t>常年税务顾问服务项目</w:t>
      </w:r>
    </w:p>
    <w:p>
      <w:pPr>
        <w:jc w:val="center"/>
        <w:rPr>
          <w:rFonts w:ascii="黑体" w:hAnsi="黑体" w:eastAsia="黑体" w:cs="黑体"/>
          <w:b/>
          <w:sz w:val="32"/>
        </w:rPr>
      </w:pPr>
    </w:p>
    <w:p>
      <w:pPr>
        <w:jc w:val="center"/>
        <w:rPr>
          <w:rFonts w:ascii="黑体" w:hAnsi="黑体" w:eastAsia="黑体" w:cs="黑体"/>
          <w:b/>
          <w:sz w:val="32"/>
        </w:rPr>
      </w:pPr>
    </w:p>
    <w:p>
      <w:pPr>
        <w:jc w:val="center"/>
        <w:rPr>
          <w:rFonts w:ascii="黑体" w:hAnsi="黑体" w:eastAsia="黑体" w:cs="黑体"/>
          <w:b/>
          <w:sz w:val="32"/>
        </w:rPr>
      </w:pPr>
    </w:p>
    <w:p>
      <w:pPr>
        <w:jc w:val="center"/>
        <w:rPr>
          <w:rFonts w:ascii="黑体" w:hAnsi="黑体" w:eastAsia="黑体" w:cs="黑体"/>
          <w:b/>
          <w:sz w:val="32"/>
        </w:rPr>
      </w:pPr>
    </w:p>
    <w:p/>
    <w:p>
      <w:pPr>
        <w:jc w:val="center"/>
        <w:rPr>
          <w:rFonts w:ascii="黑体" w:hAnsi="黑体" w:eastAsia="黑体" w:cs="黑体"/>
          <w:b/>
          <w:sz w:val="72"/>
        </w:rPr>
      </w:pPr>
      <w:r>
        <w:rPr>
          <w:rFonts w:hint="eastAsia" w:ascii="黑体" w:hAnsi="黑体" w:eastAsia="黑体" w:cs="黑体"/>
          <w:b/>
          <w:sz w:val="72"/>
        </w:rPr>
        <w:t>比选申请文件</w:t>
      </w:r>
    </w:p>
    <w:p>
      <w:pPr>
        <w:jc w:val="center"/>
        <w:rPr>
          <w:rFonts w:ascii="黑体" w:hAnsi="黑体" w:eastAsia="黑体" w:cs="黑体"/>
          <w:b/>
          <w:sz w:val="32"/>
        </w:rPr>
      </w:pPr>
    </w:p>
    <w:p>
      <w:pPr>
        <w:jc w:val="center"/>
        <w:rPr>
          <w:rFonts w:ascii="黑体" w:hAnsi="黑体" w:eastAsia="黑体" w:cs="黑体"/>
          <w:b/>
          <w:sz w:val="32"/>
        </w:rPr>
      </w:pPr>
    </w:p>
    <w:p>
      <w:pPr>
        <w:jc w:val="center"/>
        <w:rPr>
          <w:rFonts w:ascii="黑体" w:hAnsi="黑体" w:eastAsia="黑体" w:cs="黑体"/>
          <w:b/>
          <w:sz w:val="32"/>
        </w:rPr>
      </w:pPr>
    </w:p>
    <w:p>
      <w:pPr>
        <w:jc w:val="center"/>
        <w:rPr>
          <w:rFonts w:ascii="黑体" w:hAnsi="黑体" w:eastAsia="黑体" w:cs="黑体"/>
          <w:b/>
          <w:sz w:val="32"/>
        </w:rPr>
      </w:pPr>
    </w:p>
    <w:p>
      <w:pPr>
        <w:jc w:val="center"/>
        <w:rPr>
          <w:rFonts w:ascii="黑体" w:hAnsi="黑体" w:eastAsia="黑体" w:cs="黑体"/>
          <w:b/>
          <w:sz w:val="32"/>
        </w:rPr>
      </w:pPr>
    </w:p>
    <w:p>
      <w:pPr>
        <w:jc w:val="both"/>
        <w:rPr>
          <w:rFonts w:ascii="黑体" w:hAnsi="黑体" w:eastAsia="黑体" w:cs="黑体"/>
          <w:b/>
          <w:sz w:val="32"/>
        </w:rPr>
      </w:pPr>
    </w:p>
    <w:p>
      <w:pPr>
        <w:jc w:val="center"/>
        <w:rPr>
          <w:rFonts w:ascii="黑体" w:hAnsi="黑体" w:eastAsia="黑体" w:cs="黑体"/>
          <w:b/>
          <w:sz w:val="28"/>
          <w:szCs w:val="28"/>
        </w:rPr>
      </w:pPr>
      <w:r>
        <w:rPr>
          <w:rFonts w:hint="eastAsia" w:ascii="黑体" w:hAnsi="黑体" w:eastAsia="黑体" w:cs="黑体"/>
          <w:b/>
          <w:sz w:val="28"/>
          <w:szCs w:val="28"/>
        </w:rPr>
        <w:t>比选申请人：</w:t>
      </w:r>
      <w:r>
        <w:rPr>
          <w:rFonts w:ascii="黑体" w:hAnsi="黑体" w:eastAsia="黑体" w:cs="黑体"/>
          <w:b/>
          <w:sz w:val="28"/>
          <w:szCs w:val="28"/>
        </w:rPr>
        <w:t>___________________________________</w:t>
      </w:r>
    </w:p>
    <w:p>
      <w:pPr>
        <w:rPr>
          <w:rFonts w:ascii="黑体" w:hAnsi="黑体" w:eastAsia="黑体" w:cs="黑体"/>
          <w:b/>
          <w:sz w:val="28"/>
          <w:szCs w:val="28"/>
        </w:rPr>
      </w:pPr>
    </w:p>
    <w:p>
      <w:pPr>
        <w:jc w:val="center"/>
        <w:rPr>
          <w:rFonts w:ascii="黑体" w:hAnsi="黑体" w:eastAsia="黑体" w:cs="黑体"/>
          <w:b/>
          <w:sz w:val="28"/>
          <w:szCs w:val="28"/>
        </w:rPr>
      </w:pPr>
      <w:r>
        <w:rPr>
          <w:rFonts w:ascii="黑体" w:hAnsi="黑体" w:eastAsia="黑体" w:cs="黑体"/>
          <w:b/>
          <w:sz w:val="28"/>
          <w:szCs w:val="28"/>
        </w:rPr>
        <w:t xml:space="preserve"> _____年___月____日</w:t>
      </w:r>
      <w:bookmarkStart w:id="8" w:name="_Toc498423073"/>
    </w:p>
    <w:p>
      <w:pPr>
        <w:adjustRightInd/>
        <w:snapToGrid/>
        <w:spacing w:after="0"/>
        <w:rPr>
          <w:rFonts w:asciiTheme="majorEastAsia" w:hAnsiTheme="majorEastAsia" w:eastAsiaTheme="majorEastAsia"/>
        </w:rPr>
      </w:pPr>
      <w:r>
        <w:rPr>
          <w:rFonts w:asciiTheme="majorEastAsia" w:hAnsiTheme="majorEastAsia" w:eastAsiaTheme="majorEastAsia"/>
        </w:rPr>
        <w:br w:type="page"/>
      </w:r>
    </w:p>
    <w:p>
      <w:pPr>
        <w:keepNext/>
        <w:spacing w:before="156" w:beforeLines="50" w:after="156" w:afterLines="50" w:line="360" w:lineRule="auto"/>
        <w:jc w:val="center"/>
        <w:outlineLvl w:val="1"/>
        <w:rPr>
          <w:rFonts w:ascii="仿宋_GB2312" w:hAnsi="宋体" w:eastAsia="仿宋_GB2312"/>
          <w:b/>
          <w:bCs/>
          <w:sz w:val="32"/>
          <w:szCs w:val="32"/>
        </w:rPr>
      </w:pPr>
      <w:bookmarkStart w:id="9" w:name="_Toc96874884"/>
      <w:bookmarkStart w:id="10" w:name="_Toc96874729"/>
      <w:r>
        <w:rPr>
          <w:rFonts w:hint="eastAsia" w:ascii="仿宋_GB2312" w:hAnsi="宋体" w:eastAsia="仿宋_GB2312"/>
          <w:b/>
          <w:bCs/>
          <w:sz w:val="32"/>
          <w:szCs w:val="32"/>
        </w:rPr>
        <w:t>目  录</w:t>
      </w:r>
      <w:bookmarkEnd w:id="9"/>
      <w:bookmarkEnd w:id="10"/>
    </w:p>
    <w:p>
      <w:pPr>
        <w:spacing w:line="560" w:lineRule="exact"/>
        <w:ind w:firstLine="630" w:firstLineChars="225"/>
        <w:rPr>
          <w:rFonts w:ascii="仿宋_GB2312" w:hAnsi="仿宋_GB2312" w:eastAsia="仿宋_GB2312" w:cs="仿宋_GB2312"/>
          <w:sz w:val="28"/>
          <w:szCs w:val="28"/>
        </w:rPr>
      </w:pPr>
      <w:r>
        <w:rPr>
          <w:rFonts w:hint="eastAsia" w:ascii="仿宋_GB2312" w:hAnsi="仿宋_GB2312" w:eastAsia="仿宋_GB2312" w:cs="仿宋_GB2312"/>
          <w:sz w:val="28"/>
          <w:szCs w:val="28"/>
        </w:rPr>
        <w:t>一、比选申请函</w:t>
      </w:r>
    </w:p>
    <w:p>
      <w:pPr>
        <w:spacing w:line="560" w:lineRule="exact"/>
        <w:ind w:firstLine="630" w:firstLineChars="225"/>
        <w:rPr>
          <w:rFonts w:ascii="仿宋_GB2312" w:hAnsi="仿宋_GB2312" w:eastAsia="仿宋_GB2312" w:cs="仿宋_GB2312"/>
          <w:sz w:val="28"/>
          <w:szCs w:val="28"/>
        </w:rPr>
      </w:pPr>
      <w:r>
        <w:rPr>
          <w:rFonts w:hint="eastAsia" w:ascii="仿宋_GB2312" w:hAnsi="仿宋_GB2312" w:eastAsia="仿宋_GB2312" w:cs="仿宋_GB2312"/>
          <w:sz w:val="28"/>
          <w:szCs w:val="28"/>
        </w:rPr>
        <w:t>二、法定代表人（负责人）身份证明</w:t>
      </w:r>
    </w:p>
    <w:p>
      <w:pPr>
        <w:spacing w:line="560" w:lineRule="exact"/>
        <w:ind w:firstLine="630" w:firstLineChars="225"/>
        <w:rPr>
          <w:rFonts w:ascii="仿宋_GB2312" w:hAnsi="仿宋_GB2312" w:eastAsia="仿宋_GB2312" w:cs="仿宋_GB2312"/>
          <w:sz w:val="28"/>
          <w:szCs w:val="28"/>
        </w:rPr>
      </w:pPr>
      <w:r>
        <w:rPr>
          <w:rFonts w:hint="eastAsia" w:ascii="仿宋_GB2312" w:hAnsi="仿宋_GB2312" w:eastAsia="仿宋_GB2312" w:cs="仿宋_GB2312"/>
          <w:sz w:val="28"/>
          <w:szCs w:val="28"/>
        </w:rPr>
        <w:t>三、授权委托书（如有）</w:t>
      </w:r>
    </w:p>
    <w:p>
      <w:pPr>
        <w:spacing w:line="560" w:lineRule="exact"/>
        <w:ind w:firstLine="630" w:firstLineChars="225"/>
        <w:rPr>
          <w:rFonts w:ascii="仿宋_GB2312" w:hAnsi="仿宋_GB2312" w:eastAsia="仿宋_GB2312" w:cs="仿宋_GB2312"/>
          <w:sz w:val="28"/>
          <w:szCs w:val="28"/>
        </w:rPr>
      </w:pPr>
      <w:r>
        <w:rPr>
          <w:rFonts w:hint="eastAsia" w:ascii="仿宋_GB2312" w:hAnsi="仿宋_GB2312" w:eastAsia="仿宋_GB2312" w:cs="仿宋_GB2312"/>
          <w:sz w:val="28"/>
          <w:szCs w:val="28"/>
        </w:rPr>
        <w:t>四、税务师事务所介绍</w:t>
      </w:r>
    </w:p>
    <w:p>
      <w:pPr>
        <w:spacing w:line="560" w:lineRule="exact"/>
        <w:ind w:firstLine="630" w:firstLineChars="225"/>
        <w:rPr>
          <w:rFonts w:ascii="仿宋_GB2312" w:hAnsi="仿宋_GB2312" w:eastAsia="仿宋_GB2312" w:cs="仿宋_GB2312"/>
          <w:sz w:val="28"/>
          <w:szCs w:val="28"/>
        </w:rPr>
      </w:pPr>
      <w:r>
        <w:rPr>
          <w:rFonts w:hint="eastAsia" w:ascii="仿宋_GB2312" w:hAnsi="仿宋_GB2312" w:eastAsia="仿宋_GB2312" w:cs="仿宋_GB2312"/>
          <w:sz w:val="28"/>
          <w:szCs w:val="28"/>
        </w:rPr>
        <w:t>五、拟配备税务顾问团队</w:t>
      </w:r>
    </w:p>
    <w:p>
      <w:pPr>
        <w:spacing w:line="560" w:lineRule="exact"/>
        <w:ind w:firstLine="630" w:firstLineChars="225"/>
        <w:rPr>
          <w:rFonts w:ascii="仿宋_GB2312" w:hAnsi="仿宋_GB2312" w:eastAsia="仿宋_GB2312" w:cs="仿宋_GB2312"/>
          <w:sz w:val="28"/>
          <w:szCs w:val="28"/>
        </w:rPr>
      </w:pPr>
      <w:r>
        <w:rPr>
          <w:rFonts w:hint="eastAsia" w:ascii="仿宋_GB2312" w:hAnsi="仿宋_GB2312" w:eastAsia="仿宋_GB2312" w:cs="仿宋_GB2312"/>
          <w:sz w:val="28"/>
          <w:szCs w:val="28"/>
        </w:rPr>
        <w:t>六、拟配备顾问团队常年税务顾问业绩</w:t>
      </w:r>
    </w:p>
    <w:p>
      <w:pPr>
        <w:spacing w:line="560" w:lineRule="exact"/>
        <w:ind w:firstLine="630" w:firstLineChars="225"/>
        <w:rPr>
          <w:rFonts w:ascii="仿宋_GB2312" w:hAnsi="仿宋_GB2312" w:eastAsia="仿宋_GB2312" w:cs="仿宋_GB2312"/>
          <w:sz w:val="28"/>
          <w:szCs w:val="28"/>
        </w:rPr>
      </w:pPr>
      <w:r>
        <w:rPr>
          <w:rFonts w:hint="eastAsia" w:ascii="仿宋_GB2312" w:hAnsi="仿宋_GB2312" w:eastAsia="仿宋_GB2312" w:cs="仿宋_GB2312"/>
          <w:sz w:val="28"/>
          <w:szCs w:val="28"/>
        </w:rPr>
        <w:t>七、信誉承诺函</w:t>
      </w:r>
    </w:p>
    <w:p>
      <w:pPr>
        <w:spacing w:line="560" w:lineRule="exact"/>
        <w:ind w:firstLine="630" w:firstLineChars="225"/>
        <w:rPr>
          <w:rFonts w:ascii="仿宋_GB2312" w:hAnsi="仿宋_GB2312" w:eastAsia="仿宋_GB2312" w:cs="仿宋_GB2312"/>
          <w:sz w:val="28"/>
          <w:szCs w:val="28"/>
        </w:rPr>
      </w:pPr>
      <w:r>
        <w:rPr>
          <w:rFonts w:hint="eastAsia" w:ascii="仿宋_GB2312" w:hAnsi="仿宋_GB2312" w:eastAsia="仿宋_GB2312" w:cs="仿宋_GB2312"/>
          <w:sz w:val="28"/>
          <w:szCs w:val="28"/>
        </w:rPr>
        <w:t>八</w:t>
      </w:r>
      <w:r>
        <w:rPr>
          <w:rFonts w:ascii="仿宋_GB2312" w:hAnsi="仿宋_GB2312" w:eastAsia="仿宋_GB2312" w:cs="仿宋_GB2312"/>
          <w:sz w:val="28"/>
          <w:szCs w:val="28"/>
        </w:rPr>
        <w:t>、服务方案</w:t>
      </w:r>
    </w:p>
    <w:p>
      <w:pPr>
        <w:spacing w:line="560" w:lineRule="exact"/>
        <w:ind w:firstLine="630" w:firstLineChars="225"/>
        <w:rPr>
          <w:rFonts w:ascii="仿宋_GB2312" w:hAnsi="仿宋_GB2312" w:eastAsia="仿宋_GB2312" w:cs="仿宋_GB2312"/>
          <w:sz w:val="28"/>
          <w:szCs w:val="28"/>
        </w:rPr>
      </w:pPr>
      <w:r>
        <w:rPr>
          <w:rFonts w:hint="eastAsia" w:ascii="仿宋_GB2312" w:hAnsi="仿宋_GB2312" w:eastAsia="仿宋_GB2312" w:cs="仿宋_GB2312"/>
          <w:sz w:val="28"/>
          <w:szCs w:val="28"/>
        </w:rPr>
        <w:t>九</w:t>
      </w:r>
      <w:r>
        <w:rPr>
          <w:rFonts w:ascii="仿宋_GB2312" w:hAnsi="仿宋_GB2312" w:eastAsia="仿宋_GB2312" w:cs="仿宋_GB2312"/>
          <w:sz w:val="28"/>
          <w:szCs w:val="28"/>
        </w:rPr>
        <w:t>、其他资料（如有）</w:t>
      </w:r>
    </w:p>
    <w:p>
      <w:pPr>
        <w:spacing w:line="560" w:lineRule="exact"/>
        <w:ind w:firstLine="495" w:firstLineChars="225"/>
        <w:rPr>
          <w:rFonts w:asciiTheme="majorEastAsia" w:hAnsiTheme="majorEastAsia" w:eastAsiaTheme="majorEastAsia"/>
        </w:rPr>
      </w:pPr>
      <w:r>
        <w:rPr>
          <w:rFonts w:asciiTheme="majorEastAsia" w:hAnsiTheme="majorEastAsia" w:eastAsiaTheme="majorEastAsia"/>
        </w:rPr>
        <w:br w:type="page"/>
      </w:r>
    </w:p>
    <w:p>
      <w:pPr>
        <w:pStyle w:val="5"/>
        <w:ind w:left="0" w:firstLine="0" w:firstLineChars="0"/>
        <w:rPr>
          <w:rFonts w:asciiTheme="majorEastAsia" w:hAnsiTheme="majorEastAsia" w:eastAsiaTheme="majorEastAsia"/>
        </w:rPr>
      </w:pPr>
      <w:bookmarkStart w:id="11" w:name="_Toc96874885"/>
      <w:bookmarkStart w:id="12" w:name="_Toc96874730"/>
      <w:r>
        <w:rPr>
          <w:rFonts w:hint="eastAsia" w:asciiTheme="majorEastAsia" w:hAnsiTheme="majorEastAsia" w:eastAsiaTheme="majorEastAsia"/>
        </w:rPr>
        <w:t>一.比选申请函</w:t>
      </w:r>
      <w:bookmarkEnd w:id="8"/>
      <w:bookmarkEnd w:id="11"/>
      <w:bookmarkEnd w:id="12"/>
    </w:p>
    <w:p>
      <w:pPr>
        <w:spacing w:line="6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比选申请函</w:t>
      </w:r>
    </w:p>
    <w:p>
      <w:pPr>
        <w:spacing w:before="156" w:beforeLines="5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w:t>
      </w:r>
      <w:r>
        <w:rPr>
          <w:rFonts w:ascii="仿宋_GB2312" w:hAnsi="仿宋_GB2312" w:eastAsia="仿宋_GB2312" w:cs="仿宋_GB2312"/>
          <w:sz w:val="28"/>
          <w:szCs w:val="28"/>
        </w:rPr>
        <w:t xml:space="preserve">                    </w:t>
      </w:r>
    </w:p>
    <w:p>
      <w:pPr>
        <w:spacing w:line="560" w:lineRule="exact"/>
        <w:ind w:firstLine="630" w:firstLineChars="225"/>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我所仔细阅读了《四川蜀道铁路运营管理集团有限责任公司2022年常年税务顾问服务项目比选文件》内容，在对各项内容充分理解的基础上，我方按照比选文件的要求对贵公司</w:t>
      </w:r>
      <w:r>
        <w:rPr>
          <w:rFonts w:ascii="仿宋_GB2312" w:hAnsi="仿宋_GB2312" w:eastAsia="仿宋_GB2312" w:cs="仿宋_GB2312"/>
          <w:sz w:val="28"/>
          <w:szCs w:val="28"/>
        </w:rPr>
        <w:t>2022</w:t>
      </w:r>
      <w:r>
        <w:rPr>
          <w:rFonts w:hint="eastAsia" w:ascii="仿宋_GB2312" w:hAnsi="仿宋_GB2312" w:eastAsia="仿宋_GB2312" w:cs="仿宋_GB2312"/>
          <w:sz w:val="28"/>
          <w:szCs w:val="28"/>
        </w:rPr>
        <w:t>年度常年税务顾问服务的报价如下：</w:t>
      </w:r>
    </w:p>
    <w:p>
      <w:pPr>
        <w:spacing w:line="560" w:lineRule="exact"/>
        <w:ind w:firstLine="630" w:firstLineChars="225"/>
        <w:jc w:val="both"/>
        <w:rPr>
          <w:rFonts w:ascii="仿宋_GB2312" w:hAnsi="仿宋_GB2312" w:eastAsia="仿宋_GB2312" w:cs="仿宋_GB2312"/>
          <w:sz w:val="28"/>
          <w:szCs w:val="28"/>
        </w:rPr>
      </w:pPr>
      <w:r>
        <w:rPr>
          <w:rFonts w:ascii="仿宋_GB2312" w:hAnsi="仿宋_GB2312" w:eastAsia="仿宋_GB2312" w:cs="仿宋_GB2312"/>
          <w:sz w:val="28"/>
          <w:szCs w:val="28"/>
        </w:rPr>
        <w:t>1.我方就该项目的报价如下：</w:t>
      </w:r>
    </w:p>
    <w:tbl>
      <w:tblPr>
        <w:tblStyle w:val="23"/>
        <w:tblW w:w="8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atLeast"/>
          <w:jc w:val="center"/>
        </w:trPr>
        <w:tc>
          <w:tcPr>
            <w:tcW w:w="2376" w:type="dxa"/>
            <w:vAlign w:val="center"/>
          </w:tcPr>
          <w:p>
            <w:pPr>
              <w:widowControl w:val="0"/>
              <w:spacing w:line="560" w:lineRule="exact"/>
              <w:jc w:val="center"/>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申请人名称</w:t>
            </w:r>
          </w:p>
        </w:tc>
        <w:tc>
          <w:tcPr>
            <w:tcW w:w="5670" w:type="dxa"/>
            <w:vAlign w:val="center"/>
          </w:tcPr>
          <w:p>
            <w:pPr>
              <w:widowControl w:val="0"/>
              <w:spacing w:line="560" w:lineRule="exact"/>
              <w:ind w:firstLine="140" w:firstLineChars="50"/>
              <w:jc w:val="center"/>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常年税务顾问服务费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jc w:val="center"/>
        </w:trPr>
        <w:tc>
          <w:tcPr>
            <w:tcW w:w="2376" w:type="dxa"/>
            <w:vAlign w:val="center"/>
          </w:tcPr>
          <w:p>
            <w:pPr>
              <w:widowControl w:val="0"/>
              <w:spacing w:line="560" w:lineRule="exact"/>
              <w:jc w:val="center"/>
              <w:rPr>
                <w:rFonts w:ascii="仿宋_GB2312" w:hAnsi="仿宋_GB2312" w:eastAsia="仿宋_GB2312" w:cs="仿宋_GB2312"/>
                <w:kern w:val="2"/>
                <w:sz w:val="28"/>
                <w:szCs w:val="28"/>
              </w:rPr>
            </w:pPr>
          </w:p>
        </w:tc>
        <w:tc>
          <w:tcPr>
            <w:tcW w:w="5670" w:type="dxa"/>
            <w:vAlign w:val="center"/>
          </w:tcPr>
          <w:p>
            <w:pPr>
              <w:widowControl w:val="0"/>
              <w:spacing w:line="560" w:lineRule="exact"/>
              <w:ind w:firstLine="280" w:firstLineChars="100"/>
              <w:jc w:val="both"/>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rPr>
              <w:t>含税</w:t>
            </w:r>
            <w:r>
              <w:rPr>
                <w:rFonts w:hint="eastAsia" w:ascii="仿宋_GB2312" w:hAnsi="仿宋_GB2312" w:eastAsia="仿宋_GB2312" w:cs="仿宋_GB2312"/>
                <w:kern w:val="2"/>
                <w:sz w:val="28"/>
                <w:szCs w:val="28"/>
              </w:rPr>
              <w:t>金额（小写）：</w:t>
            </w:r>
            <w:r>
              <w:rPr>
                <w:rFonts w:hint="eastAsia" w:ascii="仿宋_GB2312" w:hAnsi="仿宋_GB2312" w:eastAsia="仿宋_GB2312" w:cs="仿宋_GB2312"/>
                <w:kern w:val="2"/>
                <w:sz w:val="28"/>
                <w:szCs w:val="28"/>
                <w:u w:val="single"/>
              </w:rPr>
              <w:t xml:space="preserve">         </w:t>
            </w:r>
            <w:r>
              <w:rPr>
                <w:rFonts w:ascii="仿宋_GB2312" w:hAnsi="仿宋_GB2312" w:eastAsia="仿宋_GB2312" w:cs="仿宋_GB2312"/>
                <w:kern w:val="2"/>
                <w:sz w:val="28"/>
                <w:szCs w:val="28"/>
                <w:u w:val="single"/>
              </w:rPr>
              <w:t>元</w:t>
            </w:r>
            <w:r>
              <w:rPr>
                <w:rFonts w:hint="eastAsia" w:ascii="仿宋_GB2312" w:hAnsi="仿宋_GB2312" w:eastAsia="仿宋_GB2312" w:cs="仿宋_GB2312"/>
                <w:kern w:val="2"/>
                <w:sz w:val="28"/>
                <w:szCs w:val="28"/>
                <w:u w:val="single"/>
                <w:lang w:eastAsia="zh-CN"/>
              </w:rPr>
              <w:t>（</w:t>
            </w:r>
            <w:r>
              <w:rPr>
                <w:rFonts w:hint="eastAsia" w:ascii="仿宋_GB2312" w:hAnsi="仿宋_GB2312" w:eastAsia="仿宋_GB2312" w:cs="仿宋_GB2312"/>
                <w:kern w:val="2"/>
                <w:sz w:val="28"/>
                <w:szCs w:val="28"/>
                <w:u w:val="single"/>
                <w:lang w:val="en-US" w:eastAsia="zh-CN"/>
              </w:rPr>
              <w:t>税率  %</w:t>
            </w:r>
            <w:r>
              <w:rPr>
                <w:rFonts w:hint="eastAsia" w:ascii="仿宋_GB2312" w:hAnsi="仿宋_GB2312" w:eastAsia="仿宋_GB2312" w:cs="仿宋_GB2312"/>
                <w:kern w:val="2"/>
                <w:sz w:val="28"/>
                <w:szCs w:val="28"/>
                <w:u w:val="single"/>
                <w:lang w:eastAsia="zh-CN"/>
              </w:rPr>
              <w:t>）</w:t>
            </w:r>
          </w:p>
          <w:p>
            <w:pPr>
              <w:widowControl w:val="0"/>
              <w:spacing w:line="560" w:lineRule="exact"/>
              <w:ind w:firstLine="280" w:firstLineChars="100"/>
              <w:jc w:val="left"/>
              <w:rPr>
                <w:rFonts w:ascii="仿宋_GB2312" w:hAnsi="仿宋_GB2312" w:eastAsia="仿宋_GB2312" w:cs="仿宋_GB2312"/>
                <w:kern w:val="2"/>
                <w:sz w:val="28"/>
                <w:szCs w:val="28"/>
              </w:rPr>
            </w:pPr>
            <w:r>
              <w:rPr>
                <w:rFonts w:ascii="仿宋_GB2312" w:hAnsi="仿宋_GB2312" w:eastAsia="仿宋_GB2312" w:cs="仿宋_GB2312"/>
                <w:kern w:val="2"/>
                <w:sz w:val="28"/>
                <w:szCs w:val="28"/>
              </w:rPr>
              <w:t>(大写：</w:t>
            </w:r>
            <w:r>
              <w:rPr>
                <w:rFonts w:hint="eastAsia" w:ascii="仿宋_GB2312" w:hAnsi="仿宋_GB2312" w:eastAsia="仿宋_GB2312" w:cs="仿宋_GB2312"/>
                <w:kern w:val="2"/>
                <w:sz w:val="28"/>
                <w:szCs w:val="28"/>
              </w:rPr>
              <w:t>人民币</w:t>
            </w:r>
            <w:r>
              <w:rPr>
                <w:rFonts w:ascii="仿宋_GB2312" w:hAnsi="仿宋_GB2312" w:eastAsia="仿宋_GB2312" w:cs="仿宋_GB2312"/>
                <w:kern w:val="2"/>
                <w:sz w:val="28"/>
                <w:szCs w:val="28"/>
                <w:u w:val="single"/>
              </w:rPr>
              <w:t xml:space="preserve">  </w:t>
            </w:r>
            <w:r>
              <w:rPr>
                <w:rFonts w:hint="eastAsia" w:ascii="仿宋_GB2312" w:hAnsi="仿宋_GB2312" w:eastAsia="仿宋_GB2312" w:cs="仿宋_GB2312"/>
                <w:kern w:val="2"/>
                <w:sz w:val="28"/>
                <w:szCs w:val="28"/>
                <w:u w:val="single"/>
              </w:rPr>
              <w:t xml:space="preserve">        </w:t>
            </w:r>
            <w:r>
              <w:rPr>
                <w:rFonts w:ascii="仿宋_GB2312" w:hAnsi="仿宋_GB2312" w:eastAsia="仿宋_GB2312" w:cs="仿宋_GB2312"/>
                <w:kern w:val="2"/>
                <w:sz w:val="28"/>
                <w:szCs w:val="28"/>
                <w:u w:val="single"/>
              </w:rPr>
              <w:t xml:space="preserve">        </w:t>
            </w:r>
            <w:r>
              <w:rPr>
                <w:rFonts w:hint="eastAsia" w:ascii="仿宋_GB2312" w:hAnsi="仿宋_GB2312" w:eastAsia="仿宋_GB2312" w:cs="仿宋_GB2312"/>
                <w:kern w:val="2"/>
                <w:sz w:val="28"/>
                <w:szCs w:val="28"/>
              </w:rPr>
              <w:t>）</w:t>
            </w:r>
          </w:p>
        </w:tc>
      </w:tr>
    </w:tbl>
    <w:p>
      <w:pPr>
        <w:spacing w:line="560" w:lineRule="exact"/>
        <w:ind w:firstLine="630" w:firstLineChars="225"/>
        <w:jc w:val="both"/>
        <w:rPr>
          <w:rFonts w:ascii="仿宋_GB2312" w:hAnsi="仿宋_GB2312" w:eastAsia="仿宋_GB2312" w:cs="仿宋_GB2312"/>
          <w:sz w:val="28"/>
          <w:szCs w:val="28"/>
        </w:rPr>
      </w:pPr>
      <w:r>
        <w:rPr>
          <w:rFonts w:ascii="仿宋_GB2312" w:hAnsi="仿宋_GB2312" w:eastAsia="仿宋_GB2312" w:cs="仿宋_GB2312"/>
          <w:sz w:val="28"/>
          <w:szCs w:val="28"/>
        </w:rPr>
        <w:t>2.上述报价是建立在满足</w:t>
      </w:r>
      <w:r>
        <w:rPr>
          <w:rFonts w:hint="eastAsia" w:ascii="仿宋_GB2312" w:hAnsi="仿宋_GB2312" w:eastAsia="仿宋_GB2312" w:cs="仿宋_GB2312"/>
          <w:sz w:val="28"/>
          <w:szCs w:val="28"/>
        </w:rPr>
        <w:t>比选文件要求的基础上，所有与之相关费用。</w:t>
      </w:r>
    </w:p>
    <w:p>
      <w:pPr>
        <w:spacing w:line="560" w:lineRule="exact"/>
        <w:rPr>
          <w:rFonts w:ascii="仿宋_GB2312" w:hAnsi="仿宋_GB2312" w:eastAsia="仿宋_GB2312" w:cs="仿宋_GB2312"/>
          <w:sz w:val="28"/>
          <w:szCs w:val="28"/>
        </w:rPr>
      </w:pPr>
    </w:p>
    <w:p>
      <w:pPr>
        <w:spacing w:line="560" w:lineRule="exact"/>
        <w:ind w:right="640"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比选申请人：</w:t>
      </w:r>
      <w:r>
        <w:rPr>
          <w:rFonts w:ascii="仿宋_GB2312" w:hAnsi="仿宋_GB2312" w:eastAsia="仿宋_GB2312" w:cs="仿宋_GB2312"/>
          <w:sz w:val="28"/>
          <w:szCs w:val="28"/>
        </w:rPr>
        <w:t xml:space="preserve">                （单位盖章）</w:t>
      </w:r>
    </w:p>
    <w:p>
      <w:pPr>
        <w:spacing w:line="56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rPr>
        <w:t>法定代表人（负责人）</w:t>
      </w:r>
      <w:r>
        <w:rPr>
          <w:rFonts w:hint="eastAsia" w:ascii="仿宋_GB2312" w:hAnsi="仿宋_GB2312" w:eastAsia="仿宋_GB2312" w:cs="仿宋_GB2312"/>
          <w:sz w:val="28"/>
          <w:szCs w:val="28"/>
        </w:rPr>
        <w:t>或授权代理人：</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（签字）</w:t>
      </w:r>
    </w:p>
    <w:p>
      <w:pPr>
        <w:spacing w:line="560" w:lineRule="exact"/>
        <w:ind w:firstLine="630" w:firstLineChars="225"/>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年</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w:t>
      </w:r>
    </w:p>
    <w:p>
      <w:pPr>
        <w:ind w:right="1120"/>
        <w:rPr>
          <w:rFonts w:asciiTheme="majorEastAsia" w:hAnsiTheme="majorEastAsia" w:eastAsiaTheme="majorEastAsia"/>
          <w:sz w:val="28"/>
          <w:szCs w:val="28"/>
        </w:rPr>
      </w:pPr>
      <w:r>
        <w:rPr>
          <w:rFonts w:asciiTheme="majorEastAsia" w:hAnsiTheme="majorEastAsia" w:eastAsiaTheme="majorEastAsia"/>
          <w:sz w:val="28"/>
          <w:szCs w:val="28"/>
        </w:rPr>
        <w:br w:type="page"/>
      </w:r>
    </w:p>
    <w:p>
      <w:pPr>
        <w:pStyle w:val="5"/>
        <w:ind w:left="0" w:firstLine="0" w:firstLineChars="0"/>
        <w:rPr>
          <w:rFonts w:asciiTheme="majorEastAsia" w:hAnsiTheme="majorEastAsia" w:eastAsiaTheme="majorEastAsia"/>
          <w:b/>
        </w:rPr>
      </w:pPr>
      <w:bookmarkStart w:id="13" w:name="_Toc96874731"/>
      <w:bookmarkStart w:id="14" w:name="_Toc96874886"/>
      <w:bookmarkStart w:id="15" w:name="_Toc498423074"/>
      <w:r>
        <w:rPr>
          <w:rFonts w:hint="eastAsia" w:asciiTheme="majorEastAsia" w:hAnsiTheme="majorEastAsia" w:eastAsiaTheme="majorEastAsia"/>
        </w:rPr>
        <w:t>二.法定代表人（负责人）身份证明</w:t>
      </w:r>
      <w:bookmarkEnd w:id="13"/>
      <w:bookmarkEnd w:id="14"/>
      <w:bookmarkEnd w:id="15"/>
    </w:p>
    <w:p>
      <w:pPr>
        <w:spacing w:line="6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法定代表人（负责人）身份证明</w:t>
      </w:r>
    </w:p>
    <w:p>
      <w:pPr>
        <w:spacing w:line="560" w:lineRule="exact"/>
        <w:rPr>
          <w:rFonts w:ascii="仿宋_GB2312" w:hAnsi="仿宋_GB2312" w:eastAsia="仿宋_GB2312" w:cs="仿宋_GB2312"/>
          <w:sz w:val="32"/>
        </w:rPr>
      </w:pPr>
      <w:r>
        <w:rPr>
          <w:rFonts w:hint="eastAsia" w:ascii="仿宋_GB2312" w:hAnsi="仿宋_GB2312" w:eastAsia="仿宋_GB2312" w:cs="仿宋_GB2312"/>
          <w:sz w:val="28"/>
        </w:rPr>
        <w:t>申请人名称：</w:t>
      </w:r>
      <w:r>
        <w:rPr>
          <w:rFonts w:ascii="仿宋_GB2312" w:hAnsi="仿宋_GB2312" w:eastAsia="仿宋_GB2312" w:cs="仿宋_GB2312"/>
          <w:sz w:val="24"/>
          <w:u w:val="single"/>
        </w:rPr>
        <w:t xml:space="preserve">            </w:t>
      </w:r>
      <w:r>
        <w:rPr>
          <w:rFonts w:ascii="仿宋_GB2312" w:hAnsi="仿宋_GB2312" w:eastAsia="仿宋_GB2312" w:cs="仿宋_GB2312"/>
          <w:sz w:val="32"/>
          <w:u w:val="single"/>
        </w:rPr>
        <w:t xml:space="preserve">                          </w:t>
      </w:r>
    </w:p>
    <w:p>
      <w:pPr>
        <w:spacing w:line="560" w:lineRule="exact"/>
        <w:rPr>
          <w:rFonts w:ascii="仿宋_GB2312" w:hAnsi="仿宋_GB2312" w:eastAsia="仿宋_GB2312" w:cs="仿宋_GB2312"/>
          <w:sz w:val="28"/>
        </w:rPr>
      </w:pPr>
      <w:r>
        <w:rPr>
          <w:rFonts w:hint="eastAsia" w:ascii="仿宋_GB2312" w:hAnsi="仿宋_GB2312" w:eastAsia="仿宋_GB2312" w:cs="仿宋_GB2312"/>
          <w:sz w:val="28"/>
        </w:rPr>
        <w:t>单位性质：</w:t>
      </w:r>
      <w:r>
        <w:rPr>
          <w:rFonts w:ascii="仿宋_GB2312" w:hAnsi="仿宋_GB2312" w:eastAsia="仿宋_GB2312" w:cs="仿宋_GB2312"/>
          <w:sz w:val="28"/>
          <w:u w:val="single"/>
        </w:rPr>
        <w:t xml:space="preserve">                                          </w:t>
      </w:r>
    </w:p>
    <w:p>
      <w:pPr>
        <w:spacing w:line="560" w:lineRule="exact"/>
        <w:rPr>
          <w:rFonts w:ascii="仿宋_GB2312" w:hAnsi="仿宋_GB2312" w:eastAsia="仿宋_GB2312" w:cs="仿宋_GB2312"/>
          <w:sz w:val="28"/>
        </w:rPr>
      </w:pPr>
      <w:r>
        <w:rPr>
          <w:rFonts w:hint="eastAsia" w:ascii="仿宋_GB2312" w:hAnsi="仿宋_GB2312" w:eastAsia="仿宋_GB2312" w:cs="仿宋_GB2312"/>
          <w:sz w:val="28"/>
        </w:rPr>
        <w:t>地址：</w:t>
      </w:r>
      <w:r>
        <w:rPr>
          <w:rFonts w:ascii="仿宋_GB2312" w:hAnsi="仿宋_GB2312" w:eastAsia="仿宋_GB2312" w:cs="仿宋_GB2312"/>
          <w:sz w:val="28"/>
          <w:u w:val="single"/>
        </w:rPr>
        <w:t xml:space="preserve">                                              </w:t>
      </w:r>
    </w:p>
    <w:p>
      <w:pPr>
        <w:spacing w:line="560" w:lineRule="exact"/>
        <w:rPr>
          <w:rFonts w:ascii="仿宋_GB2312" w:hAnsi="仿宋_GB2312" w:eastAsia="仿宋_GB2312" w:cs="仿宋_GB2312"/>
          <w:sz w:val="28"/>
        </w:rPr>
      </w:pPr>
      <w:r>
        <w:rPr>
          <w:rFonts w:hint="eastAsia" w:ascii="仿宋_GB2312" w:hAnsi="仿宋_GB2312" w:eastAsia="仿宋_GB2312" w:cs="仿宋_GB2312"/>
          <w:sz w:val="28"/>
        </w:rPr>
        <w:t>成立时间：</w:t>
      </w:r>
      <w:r>
        <w:rPr>
          <w:rFonts w:ascii="仿宋_GB2312" w:hAnsi="仿宋_GB2312" w:eastAsia="仿宋_GB2312" w:cs="仿宋_GB2312"/>
          <w:sz w:val="28"/>
          <w:u w:val="single"/>
        </w:rPr>
        <w:t xml:space="preserve">                                          </w:t>
      </w:r>
    </w:p>
    <w:p>
      <w:pPr>
        <w:spacing w:line="560" w:lineRule="exact"/>
        <w:rPr>
          <w:rFonts w:ascii="仿宋_GB2312" w:hAnsi="仿宋_GB2312" w:eastAsia="仿宋_GB2312" w:cs="仿宋_GB2312"/>
          <w:sz w:val="28"/>
        </w:rPr>
      </w:pPr>
      <w:r>
        <w:rPr>
          <w:rFonts w:hint="eastAsia" w:ascii="仿宋_GB2312" w:hAnsi="仿宋_GB2312" w:eastAsia="仿宋_GB2312" w:cs="仿宋_GB2312"/>
          <w:sz w:val="28"/>
        </w:rPr>
        <w:t>经营期限：</w:t>
      </w:r>
      <w:r>
        <w:rPr>
          <w:rFonts w:ascii="仿宋_GB2312" w:hAnsi="仿宋_GB2312" w:eastAsia="仿宋_GB2312" w:cs="仿宋_GB2312"/>
          <w:sz w:val="28"/>
          <w:u w:val="single"/>
        </w:rPr>
        <w:t xml:space="preserve">                </w:t>
      </w:r>
      <w:r>
        <w:rPr>
          <w:rFonts w:hint="eastAsia" w:ascii="仿宋_GB2312" w:hAnsi="仿宋_GB2312" w:eastAsia="仿宋_GB2312" w:cs="仿宋_GB2312"/>
          <w:sz w:val="28"/>
          <w:u w:val="single"/>
        </w:rPr>
        <w:t xml:space="preserve"> </w:t>
      </w:r>
      <w:r>
        <w:rPr>
          <w:rFonts w:ascii="仿宋_GB2312" w:hAnsi="仿宋_GB2312" w:eastAsia="仿宋_GB2312" w:cs="仿宋_GB2312"/>
          <w:sz w:val="28"/>
          <w:u w:val="single"/>
        </w:rPr>
        <w:t xml:space="preserve">                         </w:t>
      </w:r>
    </w:p>
    <w:p>
      <w:pPr>
        <w:spacing w:line="560" w:lineRule="exact"/>
        <w:rPr>
          <w:rFonts w:ascii="仿宋_GB2312" w:hAnsi="仿宋_GB2312" w:eastAsia="仿宋_GB2312" w:cs="仿宋_GB2312"/>
          <w:sz w:val="28"/>
        </w:rPr>
      </w:pPr>
      <w:r>
        <w:rPr>
          <w:rFonts w:hint="eastAsia" w:ascii="仿宋_GB2312" w:hAnsi="仿宋_GB2312" w:eastAsia="仿宋_GB2312" w:cs="仿宋_GB2312"/>
          <w:sz w:val="28"/>
        </w:rPr>
        <w:t>姓名：</w:t>
      </w:r>
      <w:r>
        <w:rPr>
          <w:rFonts w:ascii="仿宋_GB2312" w:hAnsi="仿宋_GB2312" w:eastAsia="仿宋_GB2312" w:cs="仿宋_GB2312"/>
          <w:sz w:val="28"/>
          <w:u w:val="single"/>
        </w:rPr>
        <w:t xml:space="preserve">        </w:t>
      </w:r>
      <w:r>
        <w:rPr>
          <w:rFonts w:hint="eastAsia" w:ascii="仿宋_GB2312" w:hAnsi="仿宋_GB2312" w:eastAsia="仿宋_GB2312" w:cs="仿宋_GB2312"/>
          <w:u w:val="single"/>
        </w:rPr>
        <w:t>（法定代表人（负责人）签字）</w:t>
      </w:r>
      <w:r>
        <w:rPr>
          <w:rFonts w:hint="eastAsia" w:ascii="仿宋_GB2312" w:hAnsi="仿宋_GB2312" w:eastAsia="仿宋_GB2312" w:cs="仿宋_GB2312"/>
          <w:sz w:val="28"/>
        </w:rPr>
        <w:t>性别：</w:t>
      </w:r>
      <w:r>
        <w:rPr>
          <w:rFonts w:ascii="仿宋_GB2312" w:hAnsi="仿宋_GB2312" w:eastAsia="仿宋_GB2312" w:cs="仿宋_GB2312"/>
          <w:sz w:val="28"/>
          <w:u w:val="single"/>
        </w:rPr>
        <w:t xml:space="preserve">      </w:t>
      </w:r>
      <w:r>
        <w:rPr>
          <w:rFonts w:hint="eastAsia" w:ascii="仿宋_GB2312" w:hAnsi="仿宋_GB2312" w:eastAsia="仿宋_GB2312" w:cs="仿宋_GB2312"/>
          <w:sz w:val="28"/>
        </w:rPr>
        <w:t>年龄：</w:t>
      </w:r>
      <w:r>
        <w:rPr>
          <w:rFonts w:ascii="仿宋_GB2312" w:hAnsi="仿宋_GB2312" w:eastAsia="仿宋_GB2312" w:cs="仿宋_GB2312"/>
          <w:sz w:val="28"/>
          <w:u w:val="single"/>
        </w:rPr>
        <w:t xml:space="preserve">      </w:t>
      </w:r>
    </w:p>
    <w:p>
      <w:pPr>
        <w:spacing w:line="560" w:lineRule="exact"/>
        <w:rPr>
          <w:rFonts w:ascii="仿宋_GB2312" w:hAnsi="仿宋_GB2312" w:eastAsia="仿宋_GB2312" w:cs="仿宋_GB2312"/>
          <w:sz w:val="28"/>
        </w:rPr>
      </w:pPr>
      <w:r>
        <w:rPr>
          <w:rFonts w:hint="eastAsia" w:ascii="仿宋_GB2312" w:hAnsi="仿宋_GB2312" w:eastAsia="仿宋_GB2312" w:cs="仿宋_GB2312"/>
          <w:sz w:val="28"/>
        </w:rPr>
        <w:t>职务：</w:t>
      </w:r>
      <w:r>
        <w:rPr>
          <w:rFonts w:ascii="仿宋_GB2312" w:hAnsi="仿宋_GB2312" w:eastAsia="仿宋_GB2312" w:cs="仿宋_GB2312"/>
          <w:sz w:val="28"/>
          <w:u w:val="single"/>
        </w:rPr>
        <w:t xml:space="preserve">         </w:t>
      </w:r>
      <w:r>
        <w:rPr>
          <w:rFonts w:hint="eastAsia" w:ascii="仿宋_GB2312" w:hAnsi="仿宋_GB2312" w:eastAsia="仿宋_GB2312" w:cs="仿宋_GB2312"/>
          <w:sz w:val="28"/>
        </w:rPr>
        <w:t>系</w:t>
      </w:r>
      <w:r>
        <w:rPr>
          <w:rFonts w:ascii="仿宋_GB2312" w:hAnsi="仿宋_GB2312" w:eastAsia="仿宋_GB2312" w:cs="仿宋_GB2312"/>
          <w:sz w:val="28"/>
          <w:u w:val="single"/>
        </w:rPr>
        <w:t xml:space="preserve">                     </w:t>
      </w:r>
      <w:r>
        <w:rPr>
          <w:rFonts w:hint="eastAsia" w:ascii="仿宋_GB2312" w:hAnsi="仿宋_GB2312" w:eastAsia="仿宋_GB2312" w:cs="仿宋_GB2312"/>
          <w:u w:val="single"/>
        </w:rPr>
        <w:t>（申请人名称）</w:t>
      </w:r>
      <w:r>
        <w:rPr>
          <w:rFonts w:hint="eastAsia" w:ascii="仿宋_GB2312" w:hAnsi="仿宋_GB2312" w:eastAsia="仿宋_GB2312" w:cs="仿宋_GB2312"/>
          <w:sz w:val="28"/>
        </w:rPr>
        <w:t>的法定代表人（负责人）。</w:t>
      </w:r>
    </w:p>
    <w:p>
      <w:pPr>
        <w:spacing w:line="560" w:lineRule="exact"/>
        <w:ind w:firstLine="420" w:firstLineChars="150"/>
        <w:rPr>
          <w:rFonts w:ascii="仿宋_GB2312" w:hAnsi="仿宋_GB2312" w:eastAsia="仿宋_GB2312" w:cs="仿宋_GB2312"/>
          <w:sz w:val="28"/>
        </w:rPr>
      </w:pPr>
      <w:r>
        <w:rPr>
          <w:rFonts w:hint="eastAsia" w:ascii="仿宋_GB2312" w:hAnsi="仿宋_GB2312" w:eastAsia="仿宋_GB2312" w:cs="仿宋_GB2312"/>
          <w:sz w:val="28"/>
        </w:rPr>
        <w:t>特此证明。</w:t>
      </w:r>
    </w:p>
    <w:p>
      <w:pPr>
        <w:spacing w:line="560" w:lineRule="exact"/>
        <w:rPr>
          <w:rFonts w:ascii="仿宋_GB2312" w:hAnsi="仿宋_GB2312" w:eastAsia="仿宋_GB2312" w:cs="仿宋_GB2312"/>
          <w:sz w:val="28"/>
        </w:rPr>
      </w:pPr>
    </w:p>
    <w:p>
      <w:pPr>
        <w:spacing w:line="560" w:lineRule="exact"/>
        <w:rPr>
          <w:rFonts w:ascii="仿宋_GB2312" w:hAnsi="仿宋_GB2312" w:eastAsia="仿宋_GB2312" w:cs="仿宋_GB2312"/>
          <w:sz w:val="28"/>
        </w:rPr>
      </w:pPr>
      <w:r>
        <w:rPr>
          <w:rFonts w:ascii="仿宋_GB2312" w:hAnsi="仿宋_GB2312" w:eastAsia="仿宋_GB2312" w:cs="仿宋_GB2312"/>
          <w:sz w:val="28"/>
        </w:rPr>
        <w:t xml:space="preserve">              比选</w:t>
      </w:r>
      <w:r>
        <w:rPr>
          <w:rFonts w:hint="eastAsia" w:ascii="仿宋_GB2312" w:hAnsi="仿宋_GB2312" w:eastAsia="仿宋_GB2312" w:cs="仿宋_GB2312"/>
          <w:sz w:val="28"/>
        </w:rPr>
        <w:t>申请人：</w:t>
      </w:r>
      <w:r>
        <w:rPr>
          <w:rFonts w:hint="eastAsia" w:ascii="仿宋_GB2312" w:hAnsi="仿宋_GB2312" w:eastAsia="仿宋_GB2312" w:cs="仿宋_GB2312"/>
          <w:sz w:val="28"/>
          <w:u w:val="single"/>
        </w:rPr>
        <w:t xml:space="preserve"> </w:t>
      </w:r>
      <w:r>
        <w:rPr>
          <w:rFonts w:ascii="仿宋_GB2312" w:hAnsi="仿宋_GB2312" w:eastAsia="仿宋_GB2312" w:cs="仿宋_GB2312"/>
          <w:sz w:val="28"/>
          <w:u w:val="single"/>
        </w:rPr>
        <w:t xml:space="preserve">                        </w:t>
      </w:r>
      <w:r>
        <w:rPr>
          <w:rFonts w:hint="eastAsia" w:ascii="仿宋_GB2312" w:hAnsi="仿宋_GB2312" w:eastAsia="仿宋_GB2312" w:cs="仿宋_GB2312"/>
          <w:sz w:val="28"/>
        </w:rPr>
        <w:t>（盖章）</w:t>
      </w:r>
    </w:p>
    <w:p>
      <w:pPr>
        <w:spacing w:line="560" w:lineRule="exact"/>
        <w:ind w:firstLine="5740" w:firstLineChars="2050"/>
        <w:rPr>
          <w:rFonts w:asciiTheme="majorEastAsia" w:hAnsiTheme="majorEastAsia" w:eastAsiaTheme="majorEastAsia"/>
        </w:rPr>
      </w:pPr>
      <w:r>
        <w:rPr>
          <w:rFonts w:hint="eastAsia" w:ascii="仿宋_GB2312" w:hAnsi="仿宋_GB2312" w:eastAsia="仿宋_GB2312" w:cs="仿宋_GB2312"/>
          <w:sz w:val="28"/>
        </w:rPr>
        <w:t>年</w:t>
      </w:r>
      <w:r>
        <w:rPr>
          <w:rFonts w:ascii="仿宋_GB2312" w:hAnsi="仿宋_GB2312" w:eastAsia="仿宋_GB2312" w:cs="仿宋_GB2312"/>
          <w:sz w:val="28"/>
        </w:rPr>
        <w:t xml:space="preserve">  </w:t>
      </w:r>
      <w:r>
        <w:rPr>
          <w:rFonts w:hint="eastAsia" w:ascii="仿宋_GB2312" w:hAnsi="仿宋_GB2312" w:eastAsia="仿宋_GB2312" w:cs="仿宋_GB2312"/>
          <w:sz w:val="28"/>
        </w:rPr>
        <w:t xml:space="preserve"> 月</w:t>
      </w:r>
      <w:r>
        <w:rPr>
          <w:rFonts w:ascii="仿宋_GB2312" w:hAnsi="仿宋_GB2312" w:eastAsia="仿宋_GB2312" w:cs="仿宋_GB2312"/>
          <w:sz w:val="28"/>
        </w:rPr>
        <w:t xml:space="preserve">  </w:t>
      </w:r>
      <w:r>
        <w:rPr>
          <w:rFonts w:hint="eastAsia" w:ascii="仿宋_GB2312" w:hAnsi="仿宋_GB2312" w:eastAsia="仿宋_GB2312" w:cs="仿宋_GB2312"/>
          <w:sz w:val="28"/>
        </w:rPr>
        <w:t xml:space="preserve"> 日</w:t>
      </w:r>
    </w:p>
    <w:p>
      <w:pPr>
        <w:rPr>
          <w:rFonts w:asciiTheme="majorEastAsia" w:hAnsiTheme="majorEastAsia" w:eastAsiaTheme="majorEastAsia"/>
          <w:b/>
        </w:rPr>
      </w:pPr>
    </w:p>
    <w:p>
      <w:pPr>
        <w:rPr>
          <w:rFonts w:asciiTheme="majorEastAsia" w:hAnsiTheme="majorEastAsia" w:eastAsiaTheme="majorEastAsia"/>
        </w:rPr>
      </w:pPr>
    </w:p>
    <w:p>
      <w:pPr>
        <w:spacing w:after="0" w:line="360" w:lineRule="auto"/>
        <w:rPr>
          <w:rFonts w:asciiTheme="majorEastAsia" w:hAnsiTheme="majorEastAsia" w:eastAsiaTheme="majorEastAsia"/>
        </w:rPr>
      </w:pPr>
      <w:r>
        <w:rPr>
          <w:rFonts w:hint="eastAsia" w:asciiTheme="majorEastAsia" w:hAnsiTheme="majorEastAsia" w:eastAsiaTheme="majorEastAsia"/>
        </w:rPr>
        <w:t>注：1.法定代表人（负责人）的签字必须是亲笔签名，不得使用印章、签名章或其他电子制版签名；</w:t>
      </w:r>
    </w:p>
    <w:p>
      <w:pPr>
        <w:spacing w:after="0" w:line="360" w:lineRule="auto"/>
        <w:rPr>
          <w:rFonts w:asciiTheme="majorEastAsia" w:hAnsiTheme="majorEastAsia" w:eastAsiaTheme="majorEastAsia"/>
        </w:rPr>
      </w:pPr>
      <w:r>
        <w:rPr>
          <w:rFonts w:hint="eastAsia" w:asciiTheme="majorEastAsia" w:hAnsiTheme="majorEastAsia" w:eastAsiaTheme="majorEastAsia"/>
        </w:rPr>
        <w:t xml:space="preserve">    2.后附法定代表人（负责人）的身份证复印件（彩色或黑白），并盖公章。</w:t>
      </w:r>
      <w:bookmarkStart w:id="16" w:name="_Toc498423075"/>
    </w:p>
    <w:p>
      <w:pPr>
        <w:pStyle w:val="5"/>
        <w:ind w:left="0" w:firstLine="0" w:firstLineChars="0"/>
        <w:rPr>
          <w:rFonts w:asciiTheme="majorEastAsia" w:hAnsiTheme="majorEastAsia" w:eastAsiaTheme="majorEastAsia"/>
        </w:rPr>
      </w:pPr>
      <w:r>
        <w:rPr>
          <w:rFonts w:asciiTheme="majorEastAsia" w:hAnsiTheme="majorEastAsia" w:eastAsiaTheme="majorEastAsia"/>
        </w:rPr>
        <w:br w:type="page"/>
      </w:r>
    </w:p>
    <w:p>
      <w:pPr>
        <w:pStyle w:val="5"/>
        <w:ind w:left="0" w:firstLine="0" w:firstLineChars="0"/>
        <w:rPr>
          <w:rFonts w:asciiTheme="majorEastAsia" w:hAnsiTheme="majorEastAsia" w:eastAsiaTheme="majorEastAsia"/>
        </w:rPr>
      </w:pPr>
      <w:bookmarkStart w:id="17" w:name="_Toc96874887"/>
      <w:bookmarkStart w:id="18" w:name="_Toc96874732"/>
      <w:r>
        <w:rPr>
          <w:rFonts w:hint="eastAsia" w:asciiTheme="majorEastAsia" w:hAnsiTheme="majorEastAsia" w:eastAsiaTheme="majorEastAsia"/>
        </w:rPr>
        <w:t>三.授权委托书（如有）</w:t>
      </w:r>
      <w:bookmarkEnd w:id="16"/>
      <w:bookmarkEnd w:id="17"/>
      <w:bookmarkEnd w:id="18"/>
    </w:p>
    <w:p>
      <w:pPr>
        <w:spacing w:line="6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授权委托书</w:t>
      </w:r>
    </w:p>
    <w:p>
      <w:pPr>
        <w:keepNext w:val="0"/>
        <w:keepLines w:val="0"/>
        <w:pageBreakBefore w:val="0"/>
        <w:widowControl/>
        <w:kinsoku/>
        <w:wordWrap/>
        <w:overflowPunct/>
        <w:topLinePunct w:val="0"/>
        <w:autoSpaceDE/>
        <w:autoSpaceDN/>
        <w:bidi w:val="0"/>
        <w:adjustRightInd w:val="0"/>
        <w:snapToGrid w:val="0"/>
        <w:spacing w:before="156" w:line="240" w:lineRule="auto"/>
        <w:ind w:firstLine="700" w:firstLineChars="250"/>
        <w:jc w:val="both"/>
        <w:textAlignment w:val="auto"/>
        <w:rPr>
          <w:rFonts w:ascii="仿宋_GB2312" w:hAnsi="仿宋_GB2312" w:eastAsia="仿宋_GB2312" w:cs="仿宋_GB2312"/>
          <w:sz w:val="28"/>
        </w:rPr>
      </w:pPr>
      <w:r>
        <w:rPr>
          <w:rFonts w:hint="eastAsia" w:ascii="仿宋_GB2312" w:hAnsi="仿宋_GB2312" w:eastAsia="仿宋_GB2312" w:cs="仿宋_GB2312"/>
          <w:sz w:val="28"/>
        </w:rPr>
        <w:t>本人</w:t>
      </w:r>
      <w:r>
        <w:rPr>
          <w:rFonts w:ascii="仿宋_GB2312" w:hAnsi="仿宋_GB2312" w:eastAsia="仿宋_GB2312" w:cs="仿宋_GB2312"/>
          <w:sz w:val="28"/>
          <w:u w:val="single"/>
        </w:rPr>
        <w:t xml:space="preserve">   （姓名）</w:t>
      </w:r>
      <w:r>
        <w:rPr>
          <w:rFonts w:hint="eastAsia" w:ascii="仿宋_GB2312" w:hAnsi="仿宋_GB2312" w:eastAsia="仿宋_GB2312" w:cs="仿宋_GB2312"/>
          <w:sz w:val="28"/>
        </w:rPr>
        <w:t>系</w:t>
      </w:r>
      <w:r>
        <w:rPr>
          <w:rFonts w:ascii="仿宋_GB2312" w:hAnsi="仿宋_GB2312" w:eastAsia="仿宋_GB2312" w:cs="仿宋_GB2312"/>
          <w:sz w:val="28"/>
          <w:u w:val="single"/>
        </w:rPr>
        <w:t xml:space="preserve">                  （</w:t>
      </w:r>
      <w:r>
        <w:rPr>
          <w:rFonts w:hint="eastAsia" w:ascii="仿宋_GB2312" w:hAnsi="仿宋_GB2312" w:eastAsia="仿宋_GB2312" w:cs="仿宋_GB2312"/>
          <w:sz w:val="28"/>
          <w:u w:val="single"/>
        </w:rPr>
        <w:t>申请人名称）</w:t>
      </w:r>
      <w:r>
        <w:rPr>
          <w:rFonts w:hint="eastAsia" w:ascii="仿宋_GB2312" w:hAnsi="仿宋_GB2312" w:eastAsia="仿宋_GB2312" w:cs="仿宋_GB2312"/>
          <w:sz w:val="28"/>
        </w:rPr>
        <w:t>法定代表人（负责人），现委托</w:t>
      </w:r>
      <w:r>
        <w:rPr>
          <w:rFonts w:ascii="仿宋_GB2312" w:hAnsi="仿宋_GB2312" w:eastAsia="仿宋_GB2312" w:cs="仿宋_GB2312"/>
          <w:sz w:val="28"/>
          <w:u w:val="single"/>
        </w:rPr>
        <w:t xml:space="preserve">           （姓名）</w:t>
      </w:r>
      <w:r>
        <w:rPr>
          <w:rFonts w:hint="eastAsia" w:ascii="仿宋_GB2312" w:hAnsi="仿宋_GB2312" w:eastAsia="仿宋_GB2312" w:cs="仿宋_GB2312"/>
          <w:sz w:val="28"/>
        </w:rPr>
        <w:t>为我方代理人。代理人根据授权，以我方名义签署、澄清、说明、补正、递交、撤回、修改</w:t>
      </w:r>
      <w:r>
        <w:rPr>
          <w:rFonts w:hint="eastAsia" w:ascii="仿宋_GB2312" w:hAnsi="仿宋_GB2312" w:eastAsia="仿宋_GB2312" w:cs="仿宋_GB2312"/>
          <w:sz w:val="28"/>
          <w:szCs w:val="28"/>
        </w:rPr>
        <w:t>四川蜀道铁路运营管理集团有限责任公司2022年常年税务顾问服务项目比选申请文件</w:t>
      </w:r>
      <w:r>
        <w:rPr>
          <w:rFonts w:hint="eastAsia" w:ascii="仿宋_GB2312" w:hAnsi="仿宋_GB2312" w:eastAsia="仿宋_GB2312" w:cs="仿宋_GB2312"/>
          <w:sz w:val="28"/>
        </w:rPr>
        <w:t>及处理有关事宜，其法律后果由我方承担。</w:t>
      </w:r>
    </w:p>
    <w:p>
      <w:pPr>
        <w:keepNext w:val="0"/>
        <w:keepLines w:val="0"/>
        <w:pageBreakBefore w:val="0"/>
        <w:widowControl/>
        <w:kinsoku/>
        <w:wordWrap/>
        <w:overflowPunct/>
        <w:topLinePunct w:val="0"/>
        <w:autoSpaceDE/>
        <w:autoSpaceDN/>
        <w:bidi w:val="0"/>
        <w:adjustRightInd w:val="0"/>
        <w:snapToGrid w:val="0"/>
        <w:spacing w:before="156" w:line="240" w:lineRule="auto"/>
        <w:ind w:firstLine="700" w:firstLineChars="25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委托期限：本项目比选有效期内。</w:t>
      </w:r>
    </w:p>
    <w:p>
      <w:pPr>
        <w:keepNext w:val="0"/>
        <w:keepLines w:val="0"/>
        <w:pageBreakBefore w:val="0"/>
        <w:widowControl/>
        <w:kinsoku/>
        <w:wordWrap/>
        <w:overflowPunct/>
        <w:topLinePunct w:val="0"/>
        <w:autoSpaceDE/>
        <w:autoSpaceDN/>
        <w:bidi w:val="0"/>
        <w:adjustRightInd w:val="0"/>
        <w:snapToGrid w:val="0"/>
        <w:spacing w:before="156" w:line="240" w:lineRule="auto"/>
        <w:ind w:firstLine="700" w:firstLineChars="25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代理人无转委托权。</w:t>
      </w:r>
    </w:p>
    <w:p>
      <w:pPr>
        <w:spacing w:before="156" w:line="560" w:lineRule="exact"/>
        <w:rPr>
          <w:rFonts w:ascii="仿宋_GB2312" w:hAnsi="仿宋_GB2312" w:eastAsia="仿宋_GB2312" w:cs="仿宋_GB2312"/>
          <w:sz w:val="28"/>
        </w:rPr>
      </w:pPr>
      <w:r>
        <w:rPr>
          <w:rFonts w:hint="eastAsia" w:ascii="仿宋_GB2312" w:hAnsi="仿宋_GB2312" w:eastAsia="仿宋_GB2312" w:cs="仿宋_GB2312"/>
          <w:sz w:val="28"/>
        </w:rPr>
        <w:t>比选申请人：</w:t>
      </w:r>
      <w:r>
        <w:rPr>
          <w:rFonts w:ascii="仿宋_GB2312" w:hAnsi="仿宋_GB2312" w:eastAsia="仿宋_GB2312" w:cs="仿宋_GB2312"/>
          <w:sz w:val="28"/>
          <w:u w:val="single"/>
        </w:rPr>
        <w:t xml:space="preserve">                                  </w:t>
      </w:r>
      <w:r>
        <w:rPr>
          <w:rFonts w:ascii="仿宋_GB2312" w:hAnsi="仿宋_GB2312" w:eastAsia="仿宋_GB2312" w:cs="仿宋_GB2312"/>
          <w:sz w:val="28"/>
        </w:rPr>
        <w:t>（盖章）</w:t>
      </w:r>
    </w:p>
    <w:p>
      <w:pPr>
        <w:spacing w:before="156" w:line="560" w:lineRule="exact"/>
        <w:rPr>
          <w:rFonts w:ascii="仿宋_GB2312" w:hAnsi="仿宋_GB2312" w:eastAsia="仿宋_GB2312" w:cs="仿宋_GB2312"/>
          <w:sz w:val="28"/>
        </w:rPr>
      </w:pPr>
      <w:r>
        <w:rPr>
          <w:rFonts w:hint="eastAsia" w:ascii="仿宋_GB2312" w:hAnsi="仿宋_GB2312" w:eastAsia="仿宋_GB2312" w:cs="仿宋_GB2312"/>
          <w:sz w:val="28"/>
        </w:rPr>
        <w:t>法定代表人（负责人）：</w:t>
      </w:r>
      <w:r>
        <w:rPr>
          <w:rFonts w:ascii="仿宋_GB2312" w:hAnsi="仿宋_GB2312" w:eastAsia="仿宋_GB2312" w:cs="仿宋_GB2312"/>
          <w:sz w:val="28"/>
          <w:u w:val="single"/>
        </w:rPr>
        <w:t xml:space="preserve">                  </w:t>
      </w:r>
      <w:r>
        <w:rPr>
          <w:rFonts w:ascii="仿宋_GB2312" w:hAnsi="仿宋_GB2312" w:eastAsia="仿宋_GB2312" w:cs="仿宋_GB2312"/>
          <w:sz w:val="28"/>
        </w:rPr>
        <w:t>（签字）</w:t>
      </w:r>
    </w:p>
    <w:p>
      <w:pPr>
        <w:spacing w:before="156" w:line="560" w:lineRule="exact"/>
        <w:rPr>
          <w:rFonts w:ascii="仿宋_GB2312" w:hAnsi="仿宋_GB2312" w:eastAsia="仿宋_GB2312" w:cs="仿宋_GB2312"/>
          <w:sz w:val="28"/>
        </w:rPr>
      </w:pPr>
      <w:r>
        <w:rPr>
          <w:rFonts w:hint="eastAsia" w:ascii="仿宋_GB2312" w:hAnsi="仿宋_GB2312" w:eastAsia="仿宋_GB2312" w:cs="仿宋_GB2312"/>
          <w:sz w:val="28"/>
        </w:rPr>
        <w:t>身份证号码：</w:t>
      </w:r>
      <w:r>
        <w:rPr>
          <w:rFonts w:ascii="仿宋_GB2312" w:hAnsi="仿宋_GB2312" w:eastAsia="仿宋_GB2312" w:cs="仿宋_GB2312"/>
          <w:sz w:val="28"/>
          <w:u w:val="single"/>
        </w:rPr>
        <w:t xml:space="preserve">                             </w:t>
      </w:r>
    </w:p>
    <w:p>
      <w:pPr>
        <w:spacing w:before="156" w:line="560" w:lineRule="exact"/>
        <w:rPr>
          <w:rFonts w:ascii="仿宋_GB2312" w:hAnsi="仿宋_GB2312" w:eastAsia="仿宋_GB2312" w:cs="仿宋_GB2312"/>
          <w:sz w:val="28"/>
        </w:rPr>
      </w:pPr>
      <w:r>
        <w:rPr>
          <w:rFonts w:hint="eastAsia" w:ascii="仿宋_GB2312" w:hAnsi="仿宋_GB2312" w:eastAsia="仿宋_GB2312" w:cs="仿宋_GB2312"/>
          <w:sz w:val="28"/>
        </w:rPr>
        <w:t>授权代理人：</w:t>
      </w:r>
      <w:r>
        <w:rPr>
          <w:rFonts w:ascii="仿宋_GB2312" w:hAnsi="仿宋_GB2312" w:eastAsia="仿宋_GB2312" w:cs="仿宋_GB2312"/>
          <w:sz w:val="28"/>
          <w:u w:val="single"/>
        </w:rPr>
        <w:t xml:space="preserve">                             </w:t>
      </w:r>
      <w:r>
        <w:rPr>
          <w:rFonts w:ascii="仿宋_GB2312" w:hAnsi="仿宋_GB2312" w:eastAsia="仿宋_GB2312" w:cs="仿宋_GB2312"/>
          <w:sz w:val="28"/>
        </w:rPr>
        <w:t>（签字）</w:t>
      </w:r>
    </w:p>
    <w:p>
      <w:pPr>
        <w:spacing w:before="156" w:line="560" w:lineRule="exact"/>
        <w:rPr>
          <w:rFonts w:ascii="仿宋_GB2312" w:hAnsi="仿宋_GB2312" w:eastAsia="仿宋_GB2312" w:cs="仿宋_GB2312"/>
          <w:sz w:val="28"/>
        </w:rPr>
      </w:pPr>
      <w:r>
        <w:rPr>
          <w:rFonts w:hint="eastAsia" w:ascii="仿宋_GB2312" w:hAnsi="仿宋_GB2312" w:eastAsia="仿宋_GB2312" w:cs="仿宋_GB2312"/>
          <w:sz w:val="28"/>
        </w:rPr>
        <w:t>身份证号码：</w:t>
      </w:r>
      <w:r>
        <w:rPr>
          <w:rFonts w:ascii="仿宋_GB2312" w:hAnsi="仿宋_GB2312" w:eastAsia="仿宋_GB2312" w:cs="仿宋_GB2312"/>
          <w:sz w:val="28"/>
          <w:u w:val="single"/>
        </w:rPr>
        <w:t xml:space="preserve">                             </w:t>
      </w:r>
    </w:p>
    <w:p>
      <w:pPr>
        <w:spacing w:before="156" w:line="560" w:lineRule="exact"/>
        <w:ind w:firstLine="5871" w:firstLineChars="2097"/>
        <w:rPr>
          <w:rFonts w:ascii="仿宋_GB2312" w:hAnsi="仿宋_GB2312" w:eastAsia="仿宋_GB2312" w:cs="仿宋_GB2312"/>
          <w:sz w:val="28"/>
        </w:rPr>
      </w:pPr>
      <w:r>
        <w:rPr>
          <w:rFonts w:hint="eastAsia" w:ascii="仿宋_GB2312" w:hAnsi="仿宋_GB2312" w:eastAsia="仿宋_GB2312" w:cs="仿宋_GB2312"/>
          <w:sz w:val="28"/>
        </w:rPr>
        <w:t>年</w:t>
      </w:r>
      <w:r>
        <w:rPr>
          <w:rFonts w:ascii="仿宋_GB2312" w:hAnsi="仿宋_GB2312" w:eastAsia="仿宋_GB2312" w:cs="仿宋_GB2312"/>
          <w:sz w:val="28"/>
        </w:rPr>
        <w:t xml:space="preserve">   </w:t>
      </w:r>
      <w:r>
        <w:rPr>
          <w:rFonts w:hint="eastAsia" w:ascii="仿宋_GB2312" w:hAnsi="仿宋_GB2312" w:eastAsia="仿宋_GB2312" w:cs="仿宋_GB2312"/>
          <w:sz w:val="28"/>
        </w:rPr>
        <w:t>月</w:t>
      </w:r>
      <w:r>
        <w:rPr>
          <w:rFonts w:ascii="仿宋_GB2312" w:hAnsi="仿宋_GB2312" w:eastAsia="仿宋_GB2312" w:cs="仿宋_GB2312"/>
          <w:sz w:val="28"/>
        </w:rPr>
        <w:t xml:space="preserve">   </w:t>
      </w:r>
      <w:r>
        <w:rPr>
          <w:rFonts w:hint="eastAsia" w:ascii="仿宋_GB2312" w:hAnsi="仿宋_GB2312" w:eastAsia="仿宋_GB2312" w:cs="仿宋_GB2312"/>
          <w:sz w:val="28"/>
        </w:rPr>
        <w:t>日</w:t>
      </w:r>
    </w:p>
    <w:p>
      <w:pPr>
        <w:spacing w:after="0" w:line="440" w:lineRule="exact"/>
        <w:rPr>
          <w:rFonts w:asciiTheme="majorEastAsia" w:hAnsiTheme="majorEastAsia" w:eastAsiaTheme="majorEastAsia"/>
        </w:rPr>
      </w:pPr>
      <w:r>
        <w:rPr>
          <w:rFonts w:hint="eastAsia" w:asciiTheme="majorEastAsia" w:hAnsiTheme="majorEastAsia" w:eastAsiaTheme="majorEastAsia"/>
        </w:rPr>
        <w:t>注：1.如果比选申请文件由授权代理人签署，则申请人须提交授权委托书，授权委托书须满足下列要求：</w:t>
      </w:r>
    </w:p>
    <w:p>
      <w:pPr>
        <w:spacing w:after="0" w:line="440" w:lineRule="exact"/>
        <w:ind w:firstLine="323" w:firstLineChars="147"/>
        <w:rPr>
          <w:rFonts w:asciiTheme="majorEastAsia" w:hAnsiTheme="majorEastAsia" w:eastAsiaTheme="majorEastAsia"/>
        </w:rPr>
      </w:pPr>
      <w:r>
        <w:rPr>
          <w:rFonts w:hint="eastAsia" w:asciiTheme="majorEastAsia" w:hAnsiTheme="majorEastAsia" w:eastAsiaTheme="majorEastAsia"/>
        </w:rPr>
        <w:t>（1）法定代表人和授权代理人必须在授权书上亲笔签名，不得使用印章、签名章或其他电子制版签名；</w:t>
      </w:r>
    </w:p>
    <w:p>
      <w:pPr>
        <w:spacing w:after="0" w:line="440" w:lineRule="exact"/>
        <w:ind w:firstLine="323" w:firstLineChars="147"/>
        <w:rPr>
          <w:rFonts w:asciiTheme="majorEastAsia" w:hAnsiTheme="majorEastAsia" w:eastAsiaTheme="majorEastAsia"/>
        </w:rPr>
      </w:pPr>
      <w:r>
        <w:rPr>
          <w:rFonts w:hint="eastAsia" w:asciiTheme="majorEastAsia" w:hAnsiTheme="majorEastAsia" w:eastAsiaTheme="majorEastAsia"/>
        </w:rPr>
        <w:t>（2）授权代理人只能是一个人，且不能再授予他人，否则将认为其授权无效；</w:t>
      </w:r>
    </w:p>
    <w:p>
      <w:pPr>
        <w:spacing w:after="0" w:line="440" w:lineRule="exact"/>
        <w:ind w:firstLine="323" w:firstLineChars="147"/>
        <w:rPr>
          <w:rFonts w:asciiTheme="majorEastAsia" w:hAnsiTheme="majorEastAsia" w:eastAsiaTheme="majorEastAsia"/>
        </w:rPr>
      </w:pPr>
      <w:r>
        <w:rPr>
          <w:rFonts w:hint="eastAsia" w:asciiTheme="majorEastAsia" w:hAnsiTheme="majorEastAsia" w:eastAsiaTheme="majorEastAsia"/>
        </w:rPr>
        <w:t>（3）授权书后须附被授权人身份证复印件（彩色或黑白），并加盖公章。</w:t>
      </w:r>
      <w:r>
        <w:rPr>
          <w:rFonts w:asciiTheme="majorEastAsia" w:hAnsiTheme="majorEastAsia" w:eastAsiaTheme="majorEastAsia"/>
        </w:rPr>
        <w:br w:type="page"/>
      </w:r>
    </w:p>
    <w:p>
      <w:pPr>
        <w:pStyle w:val="5"/>
        <w:ind w:left="0" w:firstLine="0" w:firstLineChars="0"/>
        <w:rPr>
          <w:rFonts w:asciiTheme="majorEastAsia" w:hAnsiTheme="majorEastAsia" w:eastAsiaTheme="majorEastAsia"/>
        </w:rPr>
      </w:pPr>
      <w:bookmarkStart w:id="19" w:name="_Toc96874888"/>
      <w:bookmarkStart w:id="20" w:name="_Toc96874733"/>
      <w:bookmarkStart w:id="21" w:name="_Toc498423076"/>
      <w:r>
        <w:rPr>
          <w:rFonts w:hint="eastAsia" w:asciiTheme="majorEastAsia" w:hAnsiTheme="majorEastAsia" w:eastAsiaTheme="majorEastAsia"/>
        </w:rPr>
        <w:t>四.税务师事务所介绍</w:t>
      </w:r>
      <w:bookmarkEnd w:id="19"/>
      <w:bookmarkEnd w:id="20"/>
      <w:bookmarkEnd w:id="21"/>
    </w:p>
    <w:p>
      <w:pPr>
        <w:spacing w:line="660" w:lineRule="exact"/>
        <w:jc w:val="center"/>
        <w:rPr>
          <w:rFonts w:ascii="仿宋_GB2312" w:hAnsi="仿宋_GB2312" w:eastAsia="仿宋_GB2312" w:cs="仿宋_GB2312"/>
          <w:sz w:val="32"/>
          <w:szCs w:val="32"/>
        </w:rPr>
      </w:pPr>
      <w:r>
        <w:rPr>
          <w:rFonts w:hint="eastAsia" w:ascii="仿宋_GB2312" w:hAnsi="仿宋_GB2312" w:eastAsia="仿宋_GB2312" w:cs="仿宋_GB2312"/>
          <w:b/>
          <w:bCs/>
          <w:sz w:val="32"/>
          <w:szCs w:val="32"/>
        </w:rPr>
        <w:t>税务师事务所介绍一览表</w:t>
      </w:r>
    </w:p>
    <w:p>
      <w:pPr>
        <w:spacing w:after="0" w:line="440" w:lineRule="exact"/>
        <w:rPr>
          <w:rFonts w:asciiTheme="majorEastAsia" w:hAnsiTheme="majorEastAsia" w:eastAsiaTheme="majorEastAsia"/>
          <w:b/>
        </w:rPr>
      </w:pPr>
      <w:bookmarkStart w:id="22" w:name="_Toc498423077"/>
    </w:p>
    <w:tbl>
      <w:tblPr>
        <w:tblStyle w:val="22"/>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1050"/>
        <w:gridCol w:w="1095"/>
        <w:gridCol w:w="1135"/>
        <w:gridCol w:w="1559"/>
        <w:gridCol w:w="727"/>
        <w:gridCol w:w="1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r>
              <w:rPr>
                <w:rFonts w:hint="eastAsia" w:ascii="仿宋" w:hAnsi="仿宋" w:eastAsia="仿宋" w:cs="仿宋"/>
                <w:kern w:val="2"/>
                <w:sz w:val="21"/>
                <w:szCs w:val="21"/>
                <w:lang w:bidi="ar"/>
              </w:rPr>
              <w:t>报价人名称</w:t>
            </w:r>
          </w:p>
        </w:tc>
        <w:tc>
          <w:tcPr>
            <w:tcW w:w="694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r>
              <w:rPr>
                <w:rFonts w:hint="eastAsia" w:ascii="仿宋" w:hAnsi="仿宋" w:eastAsia="仿宋" w:cs="仿宋"/>
                <w:kern w:val="2"/>
                <w:sz w:val="21"/>
                <w:szCs w:val="21"/>
                <w:lang w:bidi="ar"/>
              </w:rPr>
              <w:t>注册地址</w:t>
            </w:r>
          </w:p>
        </w:tc>
        <w:tc>
          <w:tcPr>
            <w:tcW w:w="32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r>
              <w:rPr>
                <w:rFonts w:hint="eastAsia" w:ascii="仿宋" w:hAnsi="仿宋" w:eastAsia="仿宋" w:cs="仿宋"/>
                <w:kern w:val="2"/>
                <w:sz w:val="21"/>
                <w:szCs w:val="21"/>
                <w:lang w:bidi="ar"/>
              </w:rPr>
              <w:t>邮政编码</w:t>
            </w:r>
          </w:p>
        </w:tc>
        <w:tc>
          <w:tcPr>
            <w:tcW w:w="21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r>
              <w:rPr>
                <w:rFonts w:hint="eastAsia" w:ascii="仿宋" w:hAnsi="仿宋" w:eastAsia="仿宋" w:cs="仿宋"/>
                <w:kern w:val="2"/>
                <w:sz w:val="21"/>
                <w:szCs w:val="21"/>
                <w:lang w:bidi="ar"/>
              </w:rPr>
              <w:t>联系方式</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r>
              <w:rPr>
                <w:rFonts w:hint="eastAsia" w:ascii="仿宋" w:hAnsi="仿宋" w:eastAsia="仿宋" w:cs="仿宋"/>
                <w:kern w:val="2"/>
                <w:sz w:val="21"/>
                <w:szCs w:val="21"/>
                <w:lang w:bidi="ar"/>
              </w:rPr>
              <w:t>联系人</w:t>
            </w:r>
          </w:p>
        </w:tc>
        <w:tc>
          <w:tcPr>
            <w:tcW w:w="22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r>
              <w:rPr>
                <w:rFonts w:hint="eastAsia" w:ascii="仿宋" w:hAnsi="仿宋" w:eastAsia="仿宋" w:cs="仿宋"/>
                <w:kern w:val="2"/>
                <w:sz w:val="21"/>
                <w:szCs w:val="21"/>
                <w:lang w:bidi="ar"/>
              </w:rPr>
              <w:t>联系电话</w:t>
            </w:r>
          </w:p>
        </w:tc>
        <w:tc>
          <w:tcPr>
            <w:tcW w:w="21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Calibri" w:hAnsi="Calibri" w:eastAsia="宋体" w:cs="Times New Roman"/>
                <w:kern w:val="2"/>
                <w:sz w:val="21"/>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r>
              <w:rPr>
                <w:rFonts w:hint="eastAsia" w:ascii="仿宋" w:hAnsi="仿宋" w:eastAsia="仿宋" w:cs="仿宋"/>
                <w:kern w:val="2"/>
                <w:sz w:val="21"/>
                <w:szCs w:val="21"/>
                <w:lang w:bidi="ar"/>
              </w:rPr>
              <w:t>传 真</w:t>
            </w:r>
          </w:p>
        </w:tc>
        <w:tc>
          <w:tcPr>
            <w:tcW w:w="22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r>
              <w:rPr>
                <w:rFonts w:hint="eastAsia" w:ascii="仿宋" w:hAnsi="仿宋" w:eastAsia="仿宋" w:cs="仿宋"/>
                <w:kern w:val="2"/>
                <w:sz w:val="21"/>
                <w:szCs w:val="21"/>
                <w:lang w:bidi="ar"/>
              </w:rPr>
              <w:t>电子邮件</w:t>
            </w:r>
          </w:p>
        </w:tc>
        <w:tc>
          <w:tcPr>
            <w:tcW w:w="21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r>
              <w:rPr>
                <w:rFonts w:hint="eastAsia" w:ascii="仿宋" w:hAnsi="仿宋" w:eastAsia="仿宋" w:cs="仿宋"/>
                <w:kern w:val="2"/>
                <w:sz w:val="21"/>
                <w:szCs w:val="21"/>
                <w:lang w:bidi="ar"/>
              </w:rPr>
              <w:t>法定代表人</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r>
              <w:rPr>
                <w:rFonts w:hint="eastAsia" w:ascii="仿宋" w:hAnsi="仿宋" w:eastAsia="仿宋" w:cs="仿宋"/>
                <w:kern w:val="2"/>
                <w:sz w:val="21"/>
                <w:szCs w:val="21"/>
                <w:lang w:bidi="ar"/>
              </w:rPr>
              <w:t>姓名</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r>
              <w:rPr>
                <w:rFonts w:hint="eastAsia" w:ascii="仿宋" w:hAnsi="仿宋" w:eastAsia="仿宋" w:cs="仿宋"/>
                <w:kern w:val="2"/>
                <w:sz w:val="21"/>
                <w:szCs w:val="21"/>
                <w:lang w:bidi="ar"/>
              </w:rPr>
              <w:t>职称</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r>
              <w:rPr>
                <w:rFonts w:hint="eastAsia" w:ascii="仿宋" w:hAnsi="仿宋" w:eastAsia="仿宋" w:cs="仿宋"/>
                <w:kern w:val="2"/>
                <w:sz w:val="21"/>
                <w:szCs w:val="21"/>
                <w:lang w:bidi="ar"/>
              </w:rPr>
              <w:t>电话</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r>
              <w:rPr>
                <w:rFonts w:hint="eastAsia" w:ascii="仿宋" w:hAnsi="仿宋" w:eastAsia="仿宋" w:cs="仿宋"/>
                <w:kern w:val="2"/>
                <w:sz w:val="21"/>
                <w:szCs w:val="21"/>
                <w:lang w:bidi="ar"/>
              </w:rPr>
              <w:t>项目负责人</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r>
              <w:rPr>
                <w:rFonts w:hint="eastAsia" w:ascii="仿宋" w:hAnsi="仿宋" w:eastAsia="仿宋" w:cs="仿宋"/>
                <w:kern w:val="2"/>
                <w:sz w:val="21"/>
                <w:szCs w:val="21"/>
                <w:lang w:bidi="ar"/>
              </w:rPr>
              <w:t>姓名</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r>
              <w:rPr>
                <w:rFonts w:hint="eastAsia" w:ascii="仿宋" w:hAnsi="仿宋" w:eastAsia="仿宋" w:cs="仿宋"/>
                <w:kern w:val="2"/>
                <w:sz w:val="21"/>
                <w:szCs w:val="21"/>
                <w:lang w:bidi="ar"/>
              </w:rPr>
              <w:t>职称</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r>
              <w:rPr>
                <w:rFonts w:hint="eastAsia" w:ascii="仿宋" w:hAnsi="仿宋" w:eastAsia="仿宋" w:cs="仿宋"/>
                <w:kern w:val="2"/>
                <w:sz w:val="21"/>
                <w:szCs w:val="21"/>
                <w:lang w:bidi="ar"/>
              </w:rPr>
              <w:t>电话</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r>
              <w:rPr>
                <w:rFonts w:hint="eastAsia" w:ascii="仿宋" w:hAnsi="仿宋" w:eastAsia="仿宋" w:cs="仿宋"/>
                <w:kern w:val="2"/>
                <w:sz w:val="21"/>
                <w:szCs w:val="21"/>
                <w:lang w:bidi="ar"/>
              </w:rPr>
              <w:t>成立时间</w:t>
            </w:r>
          </w:p>
        </w:tc>
        <w:tc>
          <w:tcPr>
            <w:tcW w:w="21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p>
        </w:tc>
        <w:tc>
          <w:tcPr>
            <w:tcW w:w="48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r>
              <w:rPr>
                <w:rFonts w:hint="eastAsia" w:ascii="仿宋" w:hAnsi="仿宋" w:eastAsia="仿宋" w:cs="仿宋"/>
                <w:kern w:val="2"/>
                <w:sz w:val="21"/>
                <w:szCs w:val="21"/>
                <w:lang w:bidi="ar"/>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r>
              <w:rPr>
                <w:rFonts w:hint="eastAsia" w:ascii="仿宋" w:hAnsi="仿宋" w:eastAsia="仿宋" w:cs="仿宋"/>
                <w:kern w:val="2"/>
                <w:sz w:val="21"/>
                <w:szCs w:val="21"/>
                <w:lang w:bidi="ar"/>
              </w:rPr>
              <w:t>信用等级</w:t>
            </w:r>
          </w:p>
        </w:tc>
        <w:tc>
          <w:tcPr>
            <w:tcW w:w="214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p>
        </w:tc>
        <w:tc>
          <w:tcPr>
            <w:tcW w:w="11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r>
              <w:rPr>
                <w:rFonts w:hint="eastAsia" w:ascii="仿宋" w:hAnsi="仿宋" w:eastAsia="仿宋" w:cs="仿宋"/>
                <w:kern w:val="2"/>
                <w:sz w:val="21"/>
                <w:szCs w:val="21"/>
                <w:lang w:bidi="ar"/>
              </w:rPr>
              <w:t>其中</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r>
              <w:rPr>
                <w:rFonts w:hint="eastAsia" w:ascii="仿宋" w:hAnsi="仿宋" w:eastAsia="仿宋" w:cs="仿宋"/>
                <w:kern w:val="2"/>
                <w:sz w:val="21"/>
                <w:szCs w:val="21"/>
                <w:lang w:bidi="ar"/>
              </w:rPr>
              <w:t>高级职称</w:t>
            </w:r>
          </w:p>
        </w:tc>
        <w:tc>
          <w:tcPr>
            <w:tcW w:w="21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Calibri" w:hAnsi="Calibri" w:eastAsia="宋体" w:cs="Times New Roman"/>
                <w:kern w:val="2"/>
                <w:sz w:val="21"/>
              </w:rPr>
            </w:pPr>
          </w:p>
        </w:tc>
        <w:tc>
          <w:tcPr>
            <w:tcW w:w="214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Calibri" w:hAnsi="Calibri" w:eastAsia="宋体" w:cs="Times New Roman"/>
                <w:kern w:val="2"/>
                <w:sz w:val="21"/>
              </w:rPr>
            </w:pPr>
          </w:p>
        </w:tc>
        <w:tc>
          <w:tcPr>
            <w:tcW w:w="11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Calibri" w:hAnsi="Calibri" w:eastAsia="宋体" w:cs="Times New Roman"/>
                <w:kern w:val="2"/>
                <w:sz w:val="21"/>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r>
              <w:rPr>
                <w:rFonts w:hint="eastAsia" w:ascii="仿宋" w:hAnsi="仿宋" w:eastAsia="仿宋" w:cs="仿宋"/>
                <w:kern w:val="2"/>
                <w:sz w:val="21"/>
                <w:szCs w:val="21"/>
                <w:lang w:bidi="ar"/>
              </w:rPr>
              <w:t>中级职称</w:t>
            </w:r>
          </w:p>
        </w:tc>
        <w:tc>
          <w:tcPr>
            <w:tcW w:w="21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r>
              <w:rPr>
                <w:rFonts w:hint="eastAsia" w:ascii="仿宋" w:hAnsi="仿宋" w:eastAsia="仿宋" w:cs="仿宋"/>
                <w:kern w:val="2"/>
                <w:sz w:val="21"/>
                <w:szCs w:val="21"/>
                <w:lang w:bidi="ar"/>
              </w:rPr>
              <w:t>营业执照号</w:t>
            </w:r>
          </w:p>
        </w:tc>
        <w:tc>
          <w:tcPr>
            <w:tcW w:w="21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p>
        </w:tc>
        <w:tc>
          <w:tcPr>
            <w:tcW w:w="11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Calibri" w:hAnsi="Calibri" w:eastAsia="宋体" w:cs="Times New Roman"/>
                <w:kern w:val="2"/>
                <w:sz w:val="21"/>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r>
              <w:rPr>
                <w:rFonts w:hint="eastAsia" w:ascii="仿宋" w:hAnsi="仿宋" w:eastAsia="仿宋" w:cs="仿宋"/>
                <w:kern w:val="2"/>
                <w:sz w:val="21"/>
                <w:szCs w:val="21"/>
                <w:lang w:bidi="ar"/>
              </w:rPr>
              <w:t>各类注册人员</w:t>
            </w:r>
          </w:p>
        </w:tc>
        <w:tc>
          <w:tcPr>
            <w:tcW w:w="21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r>
              <w:rPr>
                <w:rFonts w:hint="eastAsia" w:ascii="仿宋" w:hAnsi="仿宋" w:eastAsia="仿宋" w:cs="仿宋"/>
                <w:kern w:val="2"/>
                <w:sz w:val="21"/>
                <w:szCs w:val="21"/>
                <w:lang w:bidi="ar"/>
              </w:rPr>
              <w:t>注册资金</w:t>
            </w:r>
          </w:p>
        </w:tc>
        <w:tc>
          <w:tcPr>
            <w:tcW w:w="694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r>
              <w:rPr>
                <w:rFonts w:hint="eastAsia" w:ascii="仿宋" w:hAnsi="仿宋" w:eastAsia="仿宋" w:cs="仿宋"/>
                <w:kern w:val="2"/>
                <w:sz w:val="21"/>
                <w:szCs w:val="21"/>
                <w:lang w:bidi="ar"/>
              </w:rPr>
              <w:t>基本账户</w:t>
            </w:r>
          </w:p>
          <w:p>
            <w:pPr>
              <w:widowControl w:val="0"/>
              <w:tabs>
                <w:tab w:val="left" w:pos="5220"/>
                <w:tab w:val="left" w:pos="5400"/>
                <w:tab w:val="left" w:pos="5580"/>
              </w:tabs>
              <w:spacing w:after="0"/>
              <w:jc w:val="center"/>
              <w:rPr>
                <w:rFonts w:ascii="仿宋" w:hAnsi="仿宋" w:eastAsia="仿宋" w:cs="仿宋"/>
                <w:kern w:val="2"/>
                <w:szCs w:val="21"/>
              </w:rPr>
            </w:pPr>
            <w:r>
              <w:rPr>
                <w:rFonts w:hint="eastAsia" w:ascii="仿宋" w:hAnsi="仿宋" w:eastAsia="仿宋" w:cs="仿宋"/>
                <w:kern w:val="2"/>
                <w:sz w:val="21"/>
                <w:szCs w:val="21"/>
                <w:lang w:bidi="ar"/>
              </w:rPr>
              <w:t>开户银行</w:t>
            </w:r>
          </w:p>
        </w:tc>
        <w:tc>
          <w:tcPr>
            <w:tcW w:w="694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r>
              <w:rPr>
                <w:rFonts w:hint="eastAsia" w:ascii="仿宋" w:hAnsi="仿宋" w:eastAsia="仿宋" w:cs="仿宋"/>
                <w:kern w:val="2"/>
                <w:sz w:val="21"/>
                <w:szCs w:val="21"/>
                <w:lang w:bidi="ar"/>
              </w:rPr>
              <w:t>基本账户账号</w:t>
            </w:r>
          </w:p>
        </w:tc>
        <w:tc>
          <w:tcPr>
            <w:tcW w:w="694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r>
              <w:rPr>
                <w:rFonts w:hint="eastAsia" w:ascii="仿宋" w:hAnsi="仿宋" w:eastAsia="仿宋" w:cs="仿宋"/>
                <w:kern w:val="2"/>
                <w:sz w:val="21"/>
                <w:szCs w:val="21"/>
                <w:lang w:bidi="ar"/>
              </w:rPr>
              <w:t>经营范围</w:t>
            </w:r>
          </w:p>
        </w:tc>
        <w:tc>
          <w:tcPr>
            <w:tcW w:w="694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r>
              <w:rPr>
                <w:rFonts w:hint="eastAsia" w:ascii="仿宋" w:hAnsi="仿宋" w:eastAsia="仿宋" w:cs="仿宋"/>
                <w:kern w:val="2"/>
                <w:sz w:val="21"/>
                <w:szCs w:val="21"/>
                <w:lang w:bidi="ar"/>
              </w:rPr>
              <w:t>备注</w:t>
            </w:r>
          </w:p>
        </w:tc>
        <w:tc>
          <w:tcPr>
            <w:tcW w:w="694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220"/>
                <w:tab w:val="left" w:pos="5400"/>
                <w:tab w:val="left" w:pos="5580"/>
              </w:tabs>
              <w:spacing w:after="0"/>
              <w:jc w:val="center"/>
              <w:rPr>
                <w:rFonts w:ascii="仿宋" w:hAnsi="仿宋" w:eastAsia="仿宋" w:cs="仿宋"/>
                <w:kern w:val="2"/>
                <w:szCs w:val="21"/>
              </w:rPr>
            </w:pPr>
            <w:r>
              <w:rPr>
                <w:rFonts w:hint="eastAsia" w:ascii="仿宋" w:hAnsi="仿宋" w:eastAsia="仿宋" w:cs="仿宋"/>
                <w:kern w:val="2"/>
                <w:sz w:val="21"/>
                <w:szCs w:val="21"/>
                <w:lang w:bidi="ar"/>
              </w:rPr>
              <w:t xml:space="preserve">  </w:t>
            </w:r>
          </w:p>
        </w:tc>
      </w:tr>
    </w:tbl>
    <w:p>
      <w:pPr>
        <w:spacing w:after="0" w:line="440" w:lineRule="exact"/>
        <w:rPr>
          <w:rFonts w:asciiTheme="majorEastAsia" w:hAnsiTheme="majorEastAsia" w:eastAsiaTheme="majorEastAsia"/>
          <w:b/>
        </w:rPr>
      </w:pPr>
      <w:r>
        <w:rPr>
          <w:rFonts w:hint="eastAsia" w:ascii="仿宋" w:hAnsi="仿宋" w:eastAsia="仿宋" w:cs="Times New Roman"/>
          <w:b/>
          <w:kern w:val="2"/>
          <w:sz w:val="21"/>
          <w:szCs w:val="21"/>
          <w:lang w:bidi="ar"/>
        </w:rPr>
        <w:t>注：</w:t>
      </w:r>
      <w:r>
        <w:rPr>
          <w:rFonts w:hint="eastAsia" w:ascii="仿宋" w:hAnsi="仿宋" w:eastAsia="仿宋" w:cs="Times New Roman"/>
          <w:kern w:val="2"/>
          <w:sz w:val="21"/>
          <w:szCs w:val="21"/>
          <w:lang w:bidi="ar"/>
        </w:rPr>
        <w:t>在本表后应附报价人营业执照证书、基本账户开户许可证、税务师事务所执业</w:t>
      </w:r>
    </w:p>
    <w:p>
      <w:pPr>
        <w:spacing w:after="0" w:line="440" w:lineRule="exact"/>
        <w:rPr>
          <w:rFonts w:asciiTheme="majorEastAsia" w:hAnsiTheme="majorEastAsia" w:eastAsiaTheme="majorEastAsia"/>
          <w:b/>
        </w:rPr>
      </w:pPr>
    </w:p>
    <w:p>
      <w:pPr>
        <w:pStyle w:val="5"/>
        <w:ind w:left="0" w:firstLine="0" w:firstLineChars="0"/>
        <w:rPr>
          <w:rFonts w:asciiTheme="majorEastAsia" w:hAnsiTheme="majorEastAsia" w:eastAsiaTheme="majorEastAsia"/>
        </w:rPr>
      </w:pPr>
      <w:r>
        <w:rPr>
          <w:rFonts w:asciiTheme="majorEastAsia" w:hAnsiTheme="majorEastAsia" w:eastAsiaTheme="majorEastAsia"/>
        </w:rPr>
        <w:br w:type="page"/>
      </w:r>
    </w:p>
    <w:p>
      <w:pPr>
        <w:pStyle w:val="5"/>
        <w:ind w:left="0" w:firstLine="0" w:firstLineChars="0"/>
        <w:rPr>
          <w:rFonts w:asciiTheme="majorEastAsia" w:hAnsiTheme="majorEastAsia" w:eastAsiaTheme="majorEastAsia"/>
        </w:rPr>
      </w:pPr>
      <w:bookmarkStart w:id="23" w:name="_Toc96874755"/>
      <w:bookmarkStart w:id="24" w:name="_Toc96874910"/>
      <w:r>
        <w:rPr>
          <w:rFonts w:hint="eastAsia" w:asciiTheme="majorEastAsia" w:hAnsiTheme="majorEastAsia" w:eastAsiaTheme="majorEastAsia"/>
        </w:rPr>
        <w:t>五.拟配备顾问团队</w:t>
      </w:r>
      <w:bookmarkEnd w:id="22"/>
      <w:bookmarkEnd w:id="23"/>
      <w:bookmarkEnd w:id="24"/>
    </w:p>
    <w:p>
      <w:pPr>
        <w:spacing w:line="6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拟配备顾问团队</w:t>
      </w:r>
      <w:r>
        <w:rPr>
          <w:rFonts w:hint="eastAsia" w:ascii="仿宋_GB2312" w:hAnsi="宋体" w:eastAsia="仿宋_GB2312"/>
          <w:b/>
          <w:sz w:val="32"/>
          <w:szCs w:val="36"/>
        </w:rPr>
        <w:t>一览表</w:t>
      </w:r>
    </w:p>
    <w:tbl>
      <w:tblPr>
        <w:tblStyle w:val="22"/>
        <w:tblW w:w="800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29"/>
        <w:gridCol w:w="1747"/>
        <w:gridCol w:w="1276"/>
        <w:gridCol w:w="1322"/>
        <w:gridCol w:w="1350"/>
        <w:gridCol w:w="16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629" w:type="dxa"/>
            <w:vAlign w:val="center"/>
          </w:tcPr>
          <w:p>
            <w:pPr>
              <w:spacing w:after="0"/>
              <w:jc w:val="center"/>
              <w:rPr>
                <w:rFonts w:ascii="仿宋_GB2312" w:hAnsi="宋体" w:eastAsia="仿宋_GB2312" w:cs="Arial"/>
                <w:kern w:val="2"/>
                <w:szCs w:val="21"/>
              </w:rPr>
            </w:pPr>
            <w:r>
              <w:rPr>
                <w:rFonts w:hint="eastAsia" w:ascii="仿宋_GB2312" w:hAnsi="宋体" w:eastAsia="仿宋_GB2312" w:cs="Arial"/>
                <w:kern w:val="2"/>
                <w:szCs w:val="21"/>
              </w:rPr>
              <w:t>序号</w:t>
            </w:r>
          </w:p>
        </w:tc>
        <w:tc>
          <w:tcPr>
            <w:tcW w:w="1747" w:type="dxa"/>
            <w:vAlign w:val="center"/>
          </w:tcPr>
          <w:p>
            <w:pPr>
              <w:spacing w:after="0"/>
              <w:jc w:val="center"/>
              <w:rPr>
                <w:rFonts w:ascii="仿宋_GB2312" w:hAnsi="宋体" w:eastAsia="仿宋_GB2312" w:cs="Arial"/>
                <w:kern w:val="2"/>
                <w:szCs w:val="21"/>
              </w:rPr>
            </w:pPr>
            <w:r>
              <w:rPr>
                <w:rFonts w:hint="eastAsia" w:ascii="仿宋_GB2312" w:hAnsi="宋体" w:eastAsia="仿宋_GB2312" w:cs="Arial"/>
                <w:kern w:val="2"/>
                <w:szCs w:val="21"/>
              </w:rPr>
              <w:t>拟在本项目中任职</w:t>
            </w:r>
          </w:p>
        </w:tc>
        <w:tc>
          <w:tcPr>
            <w:tcW w:w="1276" w:type="dxa"/>
            <w:vAlign w:val="center"/>
          </w:tcPr>
          <w:p>
            <w:pPr>
              <w:spacing w:after="0"/>
              <w:jc w:val="center"/>
              <w:rPr>
                <w:rFonts w:ascii="仿宋_GB2312" w:hAnsi="宋体" w:eastAsia="仿宋_GB2312" w:cs="Arial"/>
                <w:kern w:val="2"/>
                <w:szCs w:val="21"/>
              </w:rPr>
            </w:pPr>
            <w:r>
              <w:rPr>
                <w:rFonts w:hint="eastAsia" w:ascii="仿宋_GB2312" w:hAnsi="宋体" w:eastAsia="仿宋_GB2312" w:cs="Arial"/>
                <w:kern w:val="2"/>
                <w:szCs w:val="21"/>
              </w:rPr>
              <w:t>姓名</w:t>
            </w:r>
          </w:p>
        </w:tc>
        <w:tc>
          <w:tcPr>
            <w:tcW w:w="1322" w:type="dxa"/>
            <w:vAlign w:val="center"/>
          </w:tcPr>
          <w:p>
            <w:pPr>
              <w:spacing w:after="0"/>
              <w:jc w:val="center"/>
              <w:rPr>
                <w:rFonts w:ascii="仿宋_GB2312" w:hAnsi="宋体" w:eastAsia="仿宋_GB2312" w:cs="Arial"/>
                <w:kern w:val="2"/>
                <w:szCs w:val="21"/>
              </w:rPr>
            </w:pPr>
            <w:r>
              <w:rPr>
                <w:rFonts w:hint="eastAsia" w:ascii="仿宋_GB2312" w:hAnsi="宋体" w:eastAsia="仿宋_GB2312" w:cs="Arial"/>
                <w:kern w:val="2"/>
                <w:szCs w:val="21"/>
              </w:rPr>
              <w:t>性别</w:t>
            </w:r>
          </w:p>
        </w:tc>
        <w:tc>
          <w:tcPr>
            <w:tcW w:w="1350" w:type="dxa"/>
            <w:vAlign w:val="center"/>
          </w:tcPr>
          <w:p>
            <w:pPr>
              <w:spacing w:after="0"/>
              <w:jc w:val="center"/>
              <w:rPr>
                <w:rFonts w:ascii="仿宋_GB2312" w:hAnsi="宋体" w:eastAsia="仿宋_GB2312"/>
                <w:kern w:val="2"/>
                <w:szCs w:val="21"/>
              </w:rPr>
            </w:pPr>
            <w:r>
              <w:rPr>
                <w:rFonts w:hint="eastAsia" w:ascii="仿宋_GB2312" w:hAnsi="宋体" w:eastAsia="仿宋_GB2312" w:cs="Arial"/>
                <w:kern w:val="2"/>
                <w:szCs w:val="21"/>
              </w:rPr>
              <w:t>执业年限</w:t>
            </w:r>
          </w:p>
        </w:tc>
        <w:tc>
          <w:tcPr>
            <w:tcW w:w="1680" w:type="dxa"/>
            <w:tcBorders>
              <w:right w:val="single" w:color="auto" w:sz="4" w:space="0"/>
            </w:tcBorders>
            <w:vAlign w:val="center"/>
          </w:tcPr>
          <w:p>
            <w:pPr>
              <w:spacing w:after="0"/>
              <w:jc w:val="center"/>
              <w:rPr>
                <w:rFonts w:ascii="仿宋_GB2312" w:hAnsi="宋体" w:eastAsia="仿宋_GB2312" w:cs="Arial"/>
                <w:kern w:val="2"/>
                <w:szCs w:val="21"/>
              </w:rPr>
            </w:pPr>
            <w:r>
              <w:rPr>
                <w:rFonts w:hint="eastAsia" w:ascii="仿宋_GB2312" w:hAnsi="宋体" w:eastAsia="仿宋_GB2312"/>
                <w:kern w:val="2"/>
                <w:szCs w:val="21"/>
              </w:rPr>
              <w:t>专业领域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629" w:type="dxa"/>
            <w:vAlign w:val="center"/>
          </w:tcPr>
          <w:p>
            <w:pPr>
              <w:spacing w:after="0"/>
              <w:jc w:val="center"/>
              <w:rPr>
                <w:rFonts w:ascii="仿宋_GB2312" w:hAnsi="宋体" w:eastAsia="仿宋_GB2312" w:cs="Arial"/>
                <w:kern w:val="2"/>
                <w:szCs w:val="21"/>
              </w:rPr>
            </w:pPr>
          </w:p>
        </w:tc>
        <w:tc>
          <w:tcPr>
            <w:tcW w:w="1747" w:type="dxa"/>
            <w:vAlign w:val="center"/>
          </w:tcPr>
          <w:p>
            <w:pPr>
              <w:spacing w:after="0"/>
              <w:jc w:val="center"/>
              <w:rPr>
                <w:rFonts w:ascii="仿宋_GB2312" w:hAnsi="宋体" w:eastAsia="仿宋_GB2312" w:cs="Arial"/>
                <w:kern w:val="2"/>
                <w:szCs w:val="21"/>
              </w:rPr>
            </w:pPr>
            <w:r>
              <w:rPr>
                <w:rFonts w:hint="eastAsia" w:ascii="仿宋_GB2312" w:hAnsi="宋体" w:eastAsia="仿宋_GB2312" w:cs="Arial"/>
                <w:kern w:val="2"/>
                <w:szCs w:val="21"/>
              </w:rPr>
              <w:t>项目负责人</w:t>
            </w:r>
          </w:p>
        </w:tc>
        <w:tc>
          <w:tcPr>
            <w:tcW w:w="1276" w:type="dxa"/>
            <w:vAlign w:val="center"/>
          </w:tcPr>
          <w:p>
            <w:pPr>
              <w:spacing w:after="0"/>
              <w:jc w:val="center"/>
              <w:rPr>
                <w:rFonts w:ascii="仿宋_GB2312" w:hAnsi="宋体" w:eastAsia="仿宋_GB2312" w:cs="Arial"/>
                <w:kern w:val="2"/>
                <w:szCs w:val="21"/>
              </w:rPr>
            </w:pPr>
          </w:p>
        </w:tc>
        <w:tc>
          <w:tcPr>
            <w:tcW w:w="1322" w:type="dxa"/>
            <w:vAlign w:val="center"/>
          </w:tcPr>
          <w:p>
            <w:pPr>
              <w:spacing w:after="0"/>
              <w:jc w:val="center"/>
              <w:rPr>
                <w:rFonts w:ascii="仿宋_GB2312" w:hAnsi="宋体" w:eastAsia="仿宋_GB2312" w:cs="Arial"/>
                <w:kern w:val="2"/>
                <w:szCs w:val="21"/>
              </w:rPr>
            </w:pPr>
          </w:p>
        </w:tc>
        <w:tc>
          <w:tcPr>
            <w:tcW w:w="1350" w:type="dxa"/>
            <w:vAlign w:val="center"/>
          </w:tcPr>
          <w:p>
            <w:pPr>
              <w:spacing w:after="0"/>
              <w:jc w:val="center"/>
              <w:rPr>
                <w:rFonts w:ascii="仿宋_GB2312" w:hAnsi="宋体" w:eastAsia="仿宋_GB2312" w:cs="Arial"/>
                <w:kern w:val="2"/>
                <w:szCs w:val="21"/>
              </w:rPr>
            </w:pPr>
          </w:p>
        </w:tc>
        <w:tc>
          <w:tcPr>
            <w:tcW w:w="1680" w:type="dxa"/>
            <w:tcBorders>
              <w:right w:val="single" w:color="auto" w:sz="4" w:space="0"/>
            </w:tcBorders>
            <w:vAlign w:val="center"/>
          </w:tcPr>
          <w:p>
            <w:pPr>
              <w:spacing w:after="0"/>
              <w:jc w:val="center"/>
              <w:rPr>
                <w:rFonts w:ascii="仿宋_GB2312" w:hAnsi="宋体" w:eastAsia="仿宋_GB2312" w:cs="Arial"/>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629" w:type="dxa"/>
            <w:vAlign w:val="center"/>
          </w:tcPr>
          <w:p>
            <w:pPr>
              <w:spacing w:after="0"/>
              <w:jc w:val="center"/>
              <w:rPr>
                <w:rFonts w:ascii="仿宋_GB2312" w:hAnsi="宋体" w:eastAsia="仿宋_GB2312" w:cs="Arial"/>
                <w:kern w:val="2"/>
                <w:szCs w:val="21"/>
              </w:rPr>
            </w:pPr>
          </w:p>
        </w:tc>
        <w:tc>
          <w:tcPr>
            <w:tcW w:w="1747" w:type="dxa"/>
            <w:vAlign w:val="center"/>
          </w:tcPr>
          <w:p>
            <w:pPr>
              <w:spacing w:after="0"/>
              <w:jc w:val="center"/>
              <w:rPr>
                <w:rFonts w:ascii="仿宋_GB2312" w:hAnsi="宋体" w:eastAsia="仿宋_GB2312" w:cs="Arial"/>
                <w:kern w:val="2"/>
                <w:szCs w:val="21"/>
              </w:rPr>
            </w:pPr>
          </w:p>
        </w:tc>
        <w:tc>
          <w:tcPr>
            <w:tcW w:w="1276" w:type="dxa"/>
            <w:vAlign w:val="center"/>
          </w:tcPr>
          <w:p>
            <w:pPr>
              <w:spacing w:after="0"/>
              <w:jc w:val="center"/>
              <w:rPr>
                <w:rFonts w:ascii="仿宋_GB2312" w:hAnsi="宋体" w:eastAsia="仿宋_GB2312" w:cs="Arial"/>
                <w:kern w:val="2"/>
                <w:szCs w:val="21"/>
              </w:rPr>
            </w:pPr>
          </w:p>
        </w:tc>
        <w:tc>
          <w:tcPr>
            <w:tcW w:w="1322" w:type="dxa"/>
            <w:vAlign w:val="center"/>
          </w:tcPr>
          <w:p>
            <w:pPr>
              <w:spacing w:after="0"/>
              <w:jc w:val="center"/>
              <w:rPr>
                <w:rFonts w:ascii="仿宋_GB2312" w:hAnsi="宋体" w:eastAsia="仿宋_GB2312" w:cs="Arial"/>
                <w:kern w:val="2"/>
                <w:szCs w:val="21"/>
              </w:rPr>
            </w:pPr>
          </w:p>
        </w:tc>
        <w:tc>
          <w:tcPr>
            <w:tcW w:w="1350" w:type="dxa"/>
            <w:vAlign w:val="center"/>
          </w:tcPr>
          <w:p>
            <w:pPr>
              <w:spacing w:after="0"/>
              <w:jc w:val="center"/>
              <w:rPr>
                <w:rFonts w:ascii="仿宋_GB2312" w:hAnsi="宋体" w:eastAsia="仿宋_GB2312" w:cs="Arial"/>
                <w:kern w:val="2"/>
                <w:szCs w:val="21"/>
              </w:rPr>
            </w:pPr>
          </w:p>
        </w:tc>
        <w:tc>
          <w:tcPr>
            <w:tcW w:w="1680" w:type="dxa"/>
            <w:tcBorders>
              <w:right w:val="single" w:color="auto" w:sz="4" w:space="0"/>
            </w:tcBorders>
            <w:vAlign w:val="center"/>
          </w:tcPr>
          <w:p>
            <w:pPr>
              <w:spacing w:after="0"/>
              <w:jc w:val="center"/>
              <w:rPr>
                <w:rFonts w:ascii="仿宋_GB2312" w:hAnsi="宋体" w:eastAsia="仿宋_GB2312" w:cs="Arial"/>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629" w:type="dxa"/>
            <w:vAlign w:val="center"/>
          </w:tcPr>
          <w:p>
            <w:pPr>
              <w:spacing w:after="0"/>
              <w:jc w:val="center"/>
              <w:rPr>
                <w:rFonts w:ascii="仿宋_GB2312" w:hAnsi="宋体" w:eastAsia="仿宋_GB2312" w:cs="Arial"/>
                <w:kern w:val="2"/>
                <w:szCs w:val="21"/>
              </w:rPr>
            </w:pPr>
          </w:p>
        </w:tc>
        <w:tc>
          <w:tcPr>
            <w:tcW w:w="1747" w:type="dxa"/>
            <w:vAlign w:val="center"/>
          </w:tcPr>
          <w:p>
            <w:pPr>
              <w:spacing w:after="0"/>
              <w:jc w:val="center"/>
              <w:rPr>
                <w:rFonts w:ascii="仿宋_GB2312" w:hAnsi="宋体" w:eastAsia="仿宋_GB2312" w:cs="Arial"/>
                <w:kern w:val="2"/>
                <w:szCs w:val="21"/>
              </w:rPr>
            </w:pPr>
            <w:r>
              <w:rPr>
                <w:rFonts w:ascii="仿宋_GB2312" w:hAnsi="宋体" w:eastAsia="仿宋_GB2312" w:cs="Arial"/>
                <w:kern w:val="2"/>
                <w:szCs w:val="21"/>
              </w:rPr>
              <w:t>……</w:t>
            </w:r>
          </w:p>
        </w:tc>
        <w:tc>
          <w:tcPr>
            <w:tcW w:w="1276" w:type="dxa"/>
            <w:vAlign w:val="center"/>
          </w:tcPr>
          <w:p>
            <w:pPr>
              <w:spacing w:after="0"/>
              <w:jc w:val="center"/>
              <w:rPr>
                <w:rFonts w:ascii="仿宋_GB2312" w:hAnsi="宋体" w:eastAsia="仿宋_GB2312" w:cs="Arial"/>
                <w:kern w:val="2"/>
                <w:szCs w:val="21"/>
              </w:rPr>
            </w:pPr>
          </w:p>
        </w:tc>
        <w:tc>
          <w:tcPr>
            <w:tcW w:w="1322" w:type="dxa"/>
            <w:vAlign w:val="center"/>
          </w:tcPr>
          <w:p>
            <w:pPr>
              <w:spacing w:after="0"/>
              <w:jc w:val="center"/>
              <w:rPr>
                <w:rFonts w:ascii="仿宋_GB2312" w:hAnsi="宋体" w:eastAsia="仿宋_GB2312" w:cs="Arial"/>
                <w:kern w:val="2"/>
                <w:szCs w:val="21"/>
              </w:rPr>
            </w:pPr>
          </w:p>
        </w:tc>
        <w:tc>
          <w:tcPr>
            <w:tcW w:w="1350" w:type="dxa"/>
            <w:tcBorders>
              <w:bottom w:val="single" w:color="auto" w:sz="4" w:space="0"/>
            </w:tcBorders>
            <w:vAlign w:val="center"/>
          </w:tcPr>
          <w:p>
            <w:pPr>
              <w:spacing w:after="0"/>
              <w:jc w:val="center"/>
              <w:rPr>
                <w:rFonts w:ascii="仿宋_GB2312" w:hAnsi="宋体" w:eastAsia="仿宋_GB2312" w:cs="Arial"/>
                <w:kern w:val="2"/>
                <w:szCs w:val="21"/>
              </w:rPr>
            </w:pPr>
          </w:p>
        </w:tc>
        <w:tc>
          <w:tcPr>
            <w:tcW w:w="1680" w:type="dxa"/>
            <w:tcBorders>
              <w:bottom w:val="single" w:color="auto" w:sz="4" w:space="0"/>
              <w:right w:val="single" w:color="auto" w:sz="4" w:space="0"/>
            </w:tcBorders>
            <w:vAlign w:val="center"/>
          </w:tcPr>
          <w:p>
            <w:pPr>
              <w:spacing w:after="0"/>
              <w:jc w:val="center"/>
              <w:rPr>
                <w:rFonts w:ascii="仿宋_GB2312" w:hAnsi="宋体" w:eastAsia="仿宋_GB2312" w:cs="Arial"/>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629" w:type="dxa"/>
            <w:vAlign w:val="center"/>
          </w:tcPr>
          <w:p>
            <w:pPr>
              <w:spacing w:after="0"/>
              <w:jc w:val="center"/>
              <w:rPr>
                <w:rFonts w:ascii="仿宋_GB2312" w:hAnsi="宋体" w:eastAsia="仿宋_GB2312" w:cs="Arial"/>
                <w:kern w:val="2"/>
                <w:szCs w:val="21"/>
              </w:rPr>
            </w:pPr>
          </w:p>
        </w:tc>
        <w:tc>
          <w:tcPr>
            <w:tcW w:w="1747" w:type="dxa"/>
            <w:vAlign w:val="center"/>
          </w:tcPr>
          <w:p>
            <w:pPr>
              <w:spacing w:after="0"/>
              <w:jc w:val="center"/>
              <w:rPr>
                <w:rFonts w:ascii="仿宋_GB2312" w:hAnsi="宋体" w:eastAsia="仿宋_GB2312" w:cs="Arial"/>
                <w:kern w:val="2"/>
                <w:szCs w:val="21"/>
              </w:rPr>
            </w:pPr>
          </w:p>
        </w:tc>
        <w:tc>
          <w:tcPr>
            <w:tcW w:w="1276" w:type="dxa"/>
            <w:vAlign w:val="center"/>
          </w:tcPr>
          <w:p>
            <w:pPr>
              <w:spacing w:after="0"/>
              <w:jc w:val="center"/>
              <w:rPr>
                <w:rFonts w:ascii="仿宋_GB2312" w:hAnsi="宋体" w:eastAsia="仿宋_GB2312" w:cs="Arial"/>
                <w:kern w:val="2"/>
                <w:szCs w:val="21"/>
              </w:rPr>
            </w:pPr>
          </w:p>
        </w:tc>
        <w:tc>
          <w:tcPr>
            <w:tcW w:w="1322" w:type="dxa"/>
            <w:vAlign w:val="center"/>
          </w:tcPr>
          <w:p>
            <w:pPr>
              <w:spacing w:after="0"/>
              <w:jc w:val="center"/>
              <w:rPr>
                <w:rFonts w:ascii="仿宋_GB2312" w:hAnsi="宋体" w:eastAsia="仿宋_GB2312" w:cs="Arial"/>
                <w:kern w:val="2"/>
                <w:szCs w:val="21"/>
              </w:rPr>
            </w:pPr>
          </w:p>
        </w:tc>
        <w:tc>
          <w:tcPr>
            <w:tcW w:w="1350" w:type="dxa"/>
            <w:tcBorders>
              <w:top w:val="single" w:color="auto" w:sz="4" w:space="0"/>
              <w:bottom w:val="single" w:color="auto" w:sz="4" w:space="0"/>
            </w:tcBorders>
            <w:vAlign w:val="center"/>
          </w:tcPr>
          <w:p>
            <w:pPr>
              <w:spacing w:after="0"/>
              <w:jc w:val="center"/>
              <w:rPr>
                <w:rFonts w:ascii="仿宋_GB2312" w:hAnsi="宋体" w:eastAsia="仿宋_GB2312" w:cs="Arial"/>
                <w:kern w:val="2"/>
                <w:szCs w:val="21"/>
              </w:rPr>
            </w:pPr>
          </w:p>
        </w:tc>
        <w:tc>
          <w:tcPr>
            <w:tcW w:w="1680" w:type="dxa"/>
            <w:tcBorders>
              <w:top w:val="single" w:color="auto" w:sz="4" w:space="0"/>
              <w:bottom w:val="single" w:color="auto" w:sz="4" w:space="0"/>
              <w:right w:val="single" w:color="auto" w:sz="4" w:space="0"/>
            </w:tcBorders>
            <w:vAlign w:val="center"/>
          </w:tcPr>
          <w:p>
            <w:pPr>
              <w:spacing w:after="0"/>
              <w:jc w:val="center"/>
              <w:rPr>
                <w:rFonts w:ascii="仿宋_GB2312" w:hAnsi="宋体" w:eastAsia="仿宋_GB2312" w:cs="Arial"/>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629" w:type="dxa"/>
            <w:vAlign w:val="center"/>
          </w:tcPr>
          <w:p>
            <w:pPr>
              <w:spacing w:after="0"/>
              <w:jc w:val="center"/>
              <w:rPr>
                <w:rFonts w:ascii="仿宋_GB2312" w:hAnsi="宋体" w:eastAsia="仿宋_GB2312" w:cs="Arial"/>
                <w:kern w:val="2"/>
                <w:szCs w:val="21"/>
              </w:rPr>
            </w:pPr>
          </w:p>
        </w:tc>
        <w:tc>
          <w:tcPr>
            <w:tcW w:w="1747" w:type="dxa"/>
            <w:vAlign w:val="center"/>
          </w:tcPr>
          <w:p>
            <w:pPr>
              <w:spacing w:after="0"/>
              <w:jc w:val="center"/>
              <w:rPr>
                <w:rFonts w:ascii="仿宋_GB2312" w:hAnsi="宋体" w:eastAsia="仿宋_GB2312" w:cs="Arial"/>
                <w:kern w:val="2"/>
                <w:szCs w:val="21"/>
              </w:rPr>
            </w:pPr>
          </w:p>
        </w:tc>
        <w:tc>
          <w:tcPr>
            <w:tcW w:w="1276" w:type="dxa"/>
            <w:vAlign w:val="center"/>
          </w:tcPr>
          <w:p>
            <w:pPr>
              <w:spacing w:after="0"/>
              <w:jc w:val="center"/>
              <w:rPr>
                <w:rFonts w:ascii="仿宋_GB2312" w:hAnsi="宋体" w:eastAsia="仿宋_GB2312" w:cs="Arial"/>
                <w:kern w:val="2"/>
                <w:szCs w:val="21"/>
              </w:rPr>
            </w:pPr>
          </w:p>
        </w:tc>
        <w:tc>
          <w:tcPr>
            <w:tcW w:w="1322" w:type="dxa"/>
            <w:vAlign w:val="center"/>
          </w:tcPr>
          <w:p>
            <w:pPr>
              <w:spacing w:after="0"/>
              <w:jc w:val="center"/>
              <w:rPr>
                <w:rFonts w:ascii="仿宋_GB2312" w:hAnsi="宋体" w:eastAsia="仿宋_GB2312" w:cs="Arial"/>
                <w:kern w:val="2"/>
                <w:szCs w:val="21"/>
              </w:rPr>
            </w:pPr>
          </w:p>
        </w:tc>
        <w:tc>
          <w:tcPr>
            <w:tcW w:w="1350" w:type="dxa"/>
            <w:tcBorders>
              <w:top w:val="single" w:color="auto" w:sz="4" w:space="0"/>
              <w:bottom w:val="single" w:color="auto" w:sz="4" w:space="0"/>
            </w:tcBorders>
            <w:vAlign w:val="center"/>
          </w:tcPr>
          <w:p>
            <w:pPr>
              <w:spacing w:after="0"/>
              <w:jc w:val="center"/>
              <w:rPr>
                <w:rFonts w:ascii="仿宋_GB2312" w:hAnsi="宋体" w:eastAsia="仿宋_GB2312" w:cs="Arial"/>
                <w:kern w:val="2"/>
                <w:szCs w:val="21"/>
              </w:rPr>
            </w:pPr>
          </w:p>
        </w:tc>
        <w:tc>
          <w:tcPr>
            <w:tcW w:w="1680" w:type="dxa"/>
            <w:tcBorders>
              <w:top w:val="single" w:color="auto" w:sz="4" w:space="0"/>
              <w:bottom w:val="single" w:color="auto" w:sz="4" w:space="0"/>
              <w:right w:val="single" w:color="auto" w:sz="4" w:space="0"/>
            </w:tcBorders>
            <w:vAlign w:val="center"/>
          </w:tcPr>
          <w:p>
            <w:pPr>
              <w:spacing w:after="0"/>
              <w:jc w:val="center"/>
              <w:rPr>
                <w:rFonts w:ascii="仿宋_GB2312" w:hAnsi="宋体" w:eastAsia="仿宋_GB2312" w:cs="Arial"/>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629" w:type="dxa"/>
            <w:vAlign w:val="center"/>
          </w:tcPr>
          <w:p>
            <w:pPr>
              <w:spacing w:after="0"/>
              <w:jc w:val="center"/>
              <w:rPr>
                <w:rFonts w:ascii="仿宋_GB2312" w:hAnsi="宋体" w:eastAsia="仿宋_GB2312" w:cs="Arial"/>
                <w:kern w:val="2"/>
                <w:szCs w:val="21"/>
              </w:rPr>
            </w:pPr>
          </w:p>
        </w:tc>
        <w:tc>
          <w:tcPr>
            <w:tcW w:w="1747" w:type="dxa"/>
            <w:vAlign w:val="center"/>
          </w:tcPr>
          <w:p>
            <w:pPr>
              <w:spacing w:after="0"/>
              <w:jc w:val="center"/>
              <w:rPr>
                <w:rFonts w:ascii="仿宋_GB2312" w:hAnsi="宋体" w:eastAsia="仿宋_GB2312" w:cs="Arial"/>
                <w:kern w:val="2"/>
                <w:szCs w:val="21"/>
              </w:rPr>
            </w:pPr>
          </w:p>
        </w:tc>
        <w:tc>
          <w:tcPr>
            <w:tcW w:w="1276" w:type="dxa"/>
            <w:vAlign w:val="center"/>
          </w:tcPr>
          <w:p>
            <w:pPr>
              <w:spacing w:after="0"/>
              <w:jc w:val="center"/>
              <w:rPr>
                <w:rFonts w:ascii="仿宋_GB2312" w:hAnsi="宋体" w:eastAsia="仿宋_GB2312" w:cs="Arial"/>
                <w:kern w:val="2"/>
                <w:szCs w:val="21"/>
              </w:rPr>
            </w:pPr>
          </w:p>
        </w:tc>
        <w:tc>
          <w:tcPr>
            <w:tcW w:w="1322" w:type="dxa"/>
            <w:vAlign w:val="center"/>
          </w:tcPr>
          <w:p>
            <w:pPr>
              <w:spacing w:after="0"/>
              <w:jc w:val="center"/>
              <w:rPr>
                <w:rFonts w:ascii="仿宋_GB2312" w:hAnsi="宋体" w:eastAsia="仿宋_GB2312" w:cs="Arial"/>
                <w:kern w:val="2"/>
                <w:szCs w:val="21"/>
              </w:rPr>
            </w:pPr>
          </w:p>
        </w:tc>
        <w:tc>
          <w:tcPr>
            <w:tcW w:w="1350" w:type="dxa"/>
            <w:tcBorders>
              <w:top w:val="single" w:color="auto" w:sz="4" w:space="0"/>
              <w:bottom w:val="single" w:color="auto" w:sz="4" w:space="0"/>
              <w:right w:val="single" w:color="auto" w:sz="4" w:space="0"/>
            </w:tcBorders>
            <w:vAlign w:val="center"/>
          </w:tcPr>
          <w:p>
            <w:pPr>
              <w:spacing w:after="0"/>
              <w:jc w:val="center"/>
              <w:rPr>
                <w:rFonts w:ascii="仿宋_GB2312" w:hAnsi="宋体" w:eastAsia="仿宋_GB2312" w:cs="Arial"/>
                <w:kern w:val="2"/>
                <w:szCs w:val="21"/>
              </w:rPr>
            </w:pPr>
          </w:p>
        </w:tc>
        <w:tc>
          <w:tcPr>
            <w:tcW w:w="1680" w:type="dxa"/>
            <w:tcBorders>
              <w:top w:val="single" w:color="auto" w:sz="4" w:space="0"/>
              <w:bottom w:val="single" w:color="auto" w:sz="4" w:space="0"/>
              <w:right w:val="single" w:color="auto" w:sz="4" w:space="0"/>
            </w:tcBorders>
            <w:vAlign w:val="center"/>
          </w:tcPr>
          <w:p>
            <w:pPr>
              <w:spacing w:after="0"/>
              <w:jc w:val="center"/>
              <w:rPr>
                <w:rFonts w:ascii="仿宋_GB2312" w:hAnsi="宋体" w:eastAsia="仿宋_GB2312" w:cs="Arial"/>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629" w:type="dxa"/>
            <w:vAlign w:val="center"/>
          </w:tcPr>
          <w:p>
            <w:pPr>
              <w:spacing w:after="0"/>
              <w:jc w:val="center"/>
              <w:rPr>
                <w:rFonts w:ascii="仿宋_GB2312" w:hAnsi="宋体" w:eastAsia="仿宋_GB2312" w:cs="Arial"/>
                <w:kern w:val="2"/>
                <w:szCs w:val="21"/>
              </w:rPr>
            </w:pPr>
          </w:p>
        </w:tc>
        <w:tc>
          <w:tcPr>
            <w:tcW w:w="1747" w:type="dxa"/>
            <w:vAlign w:val="center"/>
          </w:tcPr>
          <w:p>
            <w:pPr>
              <w:spacing w:after="0"/>
              <w:jc w:val="center"/>
              <w:rPr>
                <w:rFonts w:ascii="仿宋_GB2312" w:hAnsi="宋体" w:eastAsia="仿宋_GB2312" w:cs="Arial"/>
                <w:kern w:val="2"/>
                <w:szCs w:val="21"/>
              </w:rPr>
            </w:pPr>
          </w:p>
        </w:tc>
        <w:tc>
          <w:tcPr>
            <w:tcW w:w="1276" w:type="dxa"/>
            <w:vAlign w:val="center"/>
          </w:tcPr>
          <w:p>
            <w:pPr>
              <w:spacing w:after="0"/>
              <w:jc w:val="center"/>
              <w:rPr>
                <w:rFonts w:ascii="仿宋_GB2312" w:hAnsi="宋体" w:eastAsia="仿宋_GB2312" w:cs="Arial"/>
                <w:kern w:val="2"/>
                <w:szCs w:val="21"/>
              </w:rPr>
            </w:pPr>
          </w:p>
        </w:tc>
        <w:tc>
          <w:tcPr>
            <w:tcW w:w="1322" w:type="dxa"/>
            <w:vAlign w:val="center"/>
          </w:tcPr>
          <w:p>
            <w:pPr>
              <w:spacing w:after="0"/>
              <w:jc w:val="center"/>
              <w:rPr>
                <w:rFonts w:ascii="仿宋_GB2312" w:hAnsi="宋体" w:eastAsia="仿宋_GB2312" w:cs="Arial"/>
                <w:kern w:val="2"/>
                <w:szCs w:val="21"/>
              </w:rPr>
            </w:pPr>
          </w:p>
        </w:tc>
        <w:tc>
          <w:tcPr>
            <w:tcW w:w="1350" w:type="dxa"/>
            <w:tcBorders>
              <w:right w:val="single" w:color="auto" w:sz="4" w:space="0"/>
            </w:tcBorders>
            <w:vAlign w:val="center"/>
          </w:tcPr>
          <w:p>
            <w:pPr>
              <w:spacing w:after="0"/>
              <w:jc w:val="center"/>
              <w:rPr>
                <w:rFonts w:ascii="仿宋_GB2312" w:hAnsi="宋体" w:eastAsia="仿宋_GB2312" w:cs="Arial"/>
                <w:kern w:val="2"/>
                <w:szCs w:val="21"/>
              </w:rPr>
            </w:pPr>
          </w:p>
        </w:tc>
        <w:tc>
          <w:tcPr>
            <w:tcW w:w="1680" w:type="dxa"/>
            <w:tcBorders>
              <w:right w:val="single" w:color="auto" w:sz="4" w:space="0"/>
            </w:tcBorders>
            <w:vAlign w:val="center"/>
          </w:tcPr>
          <w:p>
            <w:pPr>
              <w:spacing w:after="0"/>
              <w:jc w:val="center"/>
              <w:rPr>
                <w:rFonts w:ascii="仿宋_GB2312" w:hAnsi="宋体" w:eastAsia="仿宋_GB2312" w:cs="Arial"/>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629" w:type="dxa"/>
            <w:vAlign w:val="center"/>
          </w:tcPr>
          <w:p>
            <w:pPr>
              <w:spacing w:after="0"/>
              <w:jc w:val="center"/>
              <w:rPr>
                <w:rFonts w:ascii="仿宋_GB2312" w:hAnsi="宋体" w:eastAsia="仿宋_GB2312" w:cs="Arial"/>
                <w:kern w:val="2"/>
                <w:szCs w:val="21"/>
              </w:rPr>
            </w:pPr>
          </w:p>
        </w:tc>
        <w:tc>
          <w:tcPr>
            <w:tcW w:w="1747" w:type="dxa"/>
            <w:vAlign w:val="center"/>
          </w:tcPr>
          <w:p>
            <w:pPr>
              <w:spacing w:after="0"/>
              <w:jc w:val="center"/>
              <w:rPr>
                <w:rFonts w:ascii="仿宋_GB2312" w:hAnsi="宋体" w:eastAsia="仿宋_GB2312" w:cs="Arial"/>
                <w:kern w:val="2"/>
                <w:szCs w:val="21"/>
              </w:rPr>
            </w:pPr>
          </w:p>
        </w:tc>
        <w:tc>
          <w:tcPr>
            <w:tcW w:w="1276" w:type="dxa"/>
            <w:vAlign w:val="center"/>
          </w:tcPr>
          <w:p>
            <w:pPr>
              <w:spacing w:after="0"/>
              <w:jc w:val="center"/>
              <w:rPr>
                <w:rFonts w:ascii="仿宋_GB2312" w:hAnsi="宋体" w:eastAsia="仿宋_GB2312" w:cs="Arial"/>
                <w:kern w:val="2"/>
                <w:szCs w:val="21"/>
              </w:rPr>
            </w:pPr>
          </w:p>
        </w:tc>
        <w:tc>
          <w:tcPr>
            <w:tcW w:w="1322" w:type="dxa"/>
            <w:vAlign w:val="center"/>
          </w:tcPr>
          <w:p>
            <w:pPr>
              <w:spacing w:after="0"/>
              <w:jc w:val="center"/>
              <w:rPr>
                <w:rFonts w:ascii="仿宋_GB2312" w:hAnsi="宋体" w:eastAsia="仿宋_GB2312" w:cs="Arial"/>
                <w:kern w:val="2"/>
                <w:szCs w:val="21"/>
              </w:rPr>
            </w:pPr>
          </w:p>
        </w:tc>
        <w:tc>
          <w:tcPr>
            <w:tcW w:w="1350" w:type="dxa"/>
            <w:tcBorders>
              <w:right w:val="single" w:color="auto" w:sz="4" w:space="0"/>
            </w:tcBorders>
            <w:vAlign w:val="center"/>
          </w:tcPr>
          <w:p>
            <w:pPr>
              <w:spacing w:after="0"/>
              <w:jc w:val="center"/>
              <w:rPr>
                <w:rFonts w:ascii="仿宋_GB2312" w:hAnsi="宋体" w:eastAsia="仿宋_GB2312" w:cs="Arial"/>
                <w:kern w:val="2"/>
                <w:szCs w:val="21"/>
              </w:rPr>
            </w:pPr>
          </w:p>
        </w:tc>
        <w:tc>
          <w:tcPr>
            <w:tcW w:w="1680" w:type="dxa"/>
            <w:tcBorders>
              <w:right w:val="single" w:color="auto" w:sz="4" w:space="0"/>
            </w:tcBorders>
            <w:vAlign w:val="center"/>
          </w:tcPr>
          <w:p>
            <w:pPr>
              <w:spacing w:after="0"/>
              <w:jc w:val="center"/>
              <w:rPr>
                <w:rFonts w:ascii="仿宋_GB2312" w:hAnsi="宋体" w:eastAsia="仿宋_GB2312" w:cs="Arial"/>
                <w:kern w:val="2"/>
                <w:szCs w:val="21"/>
              </w:rPr>
            </w:pPr>
          </w:p>
        </w:tc>
      </w:tr>
    </w:tbl>
    <w:p>
      <w:pPr>
        <w:spacing w:after="0" w:line="440" w:lineRule="exact"/>
        <w:rPr>
          <w:rFonts w:asciiTheme="majorEastAsia" w:hAnsiTheme="majorEastAsia" w:eastAsiaTheme="majorEastAsia"/>
          <w:b/>
        </w:rPr>
      </w:pPr>
      <w:r>
        <w:rPr>
          <w:rFonts w:asciiTheme="majorEastAsia" w:hAnsiTheme="majorEastAsia" w:eastAsiaTheme="majorEastAsia"/>
          <w:b/>
        </w:rPr>
        <w:t>注：</w:t>
      </w:r>
      <w:r>
        <w:rPr>
          <w:rFonts w:hint="eastAsia" w:asciiTheme="majorEastAsia" w:hAnsiTheme="majorEastAsia" w:eastAsiaTheme="majorEastAsia"/>
        </w:rPr>
        <w:t>1</w:t>
      </w:r>
      <w:r>
        <w:rPr>
          <w:rFonts w:asciiTheme="majorEastAsia" w:hAnsiTheme="majorEastAsia" w:eastAsiaTheme="majorEastAsia"/>
        </w:rPr>
        <w:t>.</w:t>
      </w:r>
      <w:r>
        <w:rPr>
          <w:rFonts w:hint="eastAsia" w:asciiTheme="majorEastAsia" w:hAnsiTheme="majorEastAsia" w:eastAsiaTheme="majorEastAsia"/>
        </w:rPr>
        <w:t>拟配置团队人员应为比选申请人本单位人员，并与合同履行实际服务顾问团队保持一致，且未经比选人同意不得随意更换。</w:t>
      </w:r>
    </w:p>
    <w:p>
      <w:pPr>
        <w:spacing w:after="0" w:line="440" w:lineRule="exact"/>
        <w:ind w:firstLine="440" w:firstLineChars="200"/>
        <w:rPr>
          <w:rFonts w:asciiTheme="majorEastAsia" w:hAnsiTheme="majorEastAsia" w:eastAsiaTheme="majorEastAsia"/>
          <w:b/>
        </w:rPr>
      </w:pPr>
      <w:r>
        <w:rPr>
          <w:rFonts w:hint="eastAsia" w:asciiTheme="majorEastAsia" w:hAnsiTheme="majorEastAsia" w:eastAsiaTheme="majorEastAsia"/>
        </w:rPr>
        <w:t>2</w:t>
      </w:r>
      <w:r>
        <w:rPr>
          <w:rFonts w:asciiTheme="majorEastAsia" w:hAnsiTheme="majorEastAsia" w:eastAsiaTheme="majorEastAsia"/>
        </w:rPr>
        <w:t>.表后附拟配备</w:t>
      </w:r>
      <w:r>
        <w:rPr>
          <w:rFonts w:hint="eastAsia" w:asciiTheme="majorEastAsia" w:hAnsiTheme="majorEastAsia" w:eastAsiaTheme="majorEastAsia"/>
        </w:rPr>
        <w:t>顾问</w:t>
      </w:r>
      <w:r>
        <w:rPr>
          <w:rFonts w:asciiTheme="majorEastAsia" w:hAnsiTheme="majorEastAsia" w:eastAsiaTheme="majorEastAsia"/>
        </w:rPr>
        <w:t>团队人员介绍（格式自拟），介绍内容包括但不限于</w:t>
      </w:r>
      <w:r>
        <w:rPr>
          <w:rFonts w:hint="eastAsia" w:asciiTheme="majorEastAsia" w:hAnsiTheme="majorEastAsia" w:eastAsiaTheme="majorEastAsia"/>
        </w:rPr>
        <w:t>专业领域、主要业绩、获奖情况（如有）。相关证明材料应附身份证、税务师职业资格证及其他必选申请人认为与本项目相关的资料，并加盖比选申请人公章。</w:t>
      </w:r>
    </w:p>
    <w:p>
      <w:pPr>
        <w:spacing w:line="660" w:lineRule="exact"/>
        <w:jc w:val="center"/>
        <w:rPr>
          <w:rFonts w:ascii="仿宋_GB2312" w:hAnsi="仿宋_GB2312" w:eastAsia="仿宋_GB2312" w:cs="仿宋_GB2312"/>
          <w:b/>
          <w:bCs/>
          <w:sz w:val="32"/>
          <w:szCs w:val="32"/>
        </w:rPr>
      </w:pPr>
      <w:r>
        <w:rPr>
          <w:rFonts w:ascii="仿宋_GB2312" w:hAnsi="仿宋_GB2312" w:eastAsia="仿宋_GB2312" w:cs="仿宋_GB2312"/>
          <w:b/>
          <w:bCs/>
          <w:sz w:val="32"/>
          <w:szCs w:val="32"/>
        </w:rPr>
        <w:br w:type="page"/>
      </w:r>
    </w:p>
    <w:p>
      <w:pPr>
        <w:pStyle w:val="5"/>
        <w:ind w:left="0" w:firstLine="0" w:firstLineChars="0"/>
        <w:rPr>
          <w:rFonts w:asciiTheme="majorEastAsia" w:hAnsiTheme="majorEastAsia" w:eastAsiaTheme="majorEastAsia"/>
        </w:rPr>
      </w:pPr>
      <w:bookmarkStart w:id="25" w:name="_Toc96874756"/>
      <w:bookmarkStart w:id="26" w:name="_Toc96874911"/>
      <w:r>
        <w:rPr>
          <w:rFonts w:asciiTheme="majorEastAsia" w:hAnsiTheme="majorEastAsia" w:eastAsiaTheme="majorEastAsia"/>
        </w:rPr>
        <w:t>六</w:t>
      </w:r>
      <w:r>
        <w:rPr>
          <w:rFonts w:hint="eastAsia" w:asciiTheme="majorEastAsia" w:hAnsiTheme="majorEastAsia" w:eastAsiaTheme="majorEastAsia"/>
        </w:rPr>
        <w:t>.拟配备团队常年税务顾问业绩</w:t>
      </w:r>
      <w:bookmarkEnd w:id="25"/>
      <w:bookmarkEnd w:id="26"/>
    </w:p>
    <w:p>
      <w:pPr>
        <w:spacing w:before="156" w:beforeLines="50" w:after="156" w:afterLines="50" w:line="360" w:lineRule="auto"/>
        <w:jc w:val="center"/>
        <w:rPr>
          <w:rFonts w:ascii="仿宋_GB2312" w:hAnsi="宋体" w:eastAsia="仿宋_GB2312" w:cs="宋体"/>
          <w:b/>
          <w:bCs/>
          <w:sz w:val="3"/>
          <w:szCs w:val="3"/>
        </w:rPr>
      </w:pPr>
      <w:r>
        <w:rPr>
          <w:rFonts w:hint="eastAsia" w:ascii="仿宋_GB2312" w:hAnsi="宋体" w:eastAsia="仿宋_GB2312"/>
          <w:b/>
          <w:sz w:val="32"/>
          <w:szCs w:val="36"/>
        </w:rPr>
        <w:t>拟配备团队常年税务顾问业绩一览表</w:t>
      </w:r>
    </w:p>
    <w:tbl>
      <w:tblPr>
        <w:tblStyle w:val="22"/>
        <w:tblW w:w="8067" w:type="dxa"/>
        <w:jc w:val="center"/>
        <w:tblLayout w:type="fixed"/>
        <w:tblCellMar>
          <w:top w:w="0" w:type="dxa"/>
          <w:left w:w="57" w:type="dxa"/>
          <w:bottom w:w="0" w:type="dxa"/>
          <w:right w:w="57" w:type="dxa"/>
        </w:tblCellMar>
      </w:tblPr>
      <w:tblGrid>
        <w:gridCol w:w="546"/>
        <w:gridCol w:w="2568"/>
        <w:gridCol w:w="2126"/>
        <w:gridCol w:w="1276"/>
        <w:gridCol w:w="1551"/>
      </w:tblGrid>
      <w:tr>
        <w:tblPrEx>
          <w:tblCellMar>
            <w:top w:w="0" w:type="dxa"/>
            <w:left w:w="57" w:type="dxa"/>
            <w:bottom w:w="0" w:type="dxa"/>
            <w:right w:w="57" w:type="dxa"/>
          </w:tblCellMar>
        </w:tblPrEx>
        <w:trPr>
          <w:trHeight w:val="20" w:hRule="atLeast"/>
          <w:jc w:val="center"/>
        </w:trPr>
        <w:tc>
          <w:tcPr>
            <w:tcW w:w="546" w:type="dxa"/>
            <w:tcBorders>
              <w:top w:val="single" w:color="000000" w:sz="4" w:space="0"/>
              <w:left w:val="single" w:color="000000" w:sz="4" w:space="0"/>
              <w:bottom w:val="single" w:color="000000" w:sz="4" w:space="0"/>
              <w:right w:val="single" w:color="000000" w:sz="4" w:space="0"/>
            </w:tcBorders>
            <w:vAlign w:val="center"/>
          </w:tcPr>
          <w:p>
            <w:pPr>
              <w:pStyle w:val="45"/>
              <w:spacing w:before="156" w:beforeLines="50" w:after="156" w:afterLines="50" w:line="240" w:lineRule="atLeast"/>
              <w:jc w:val="center"/>
              <w:rPr>
                <w:rFonts w:ascii="仿宋_GB2312" w:hAnsi="宋体" w:eastAsia="仿宋_GB2312" w:cs="宋体"/>
                <w:kern w:val="2"/>
                <w:sz w:val="21"/>
                <w:szCs w:val="21"/>
              </w:rPr>
            </w:pPr>
            <w:r>
              <w:rPr>
                <w:rFonts w:hint="eastAsia" w:ascii="仿宋_GB2312" w:hAnsi="宋体" w:eastAsia="仿宋_GB2312" w:cs="宋体"/>
                <w:kern w:val="2"/>
                <w:sz w:val="21"/>
                <w:szCs w:val="21"/>
              </w:rPr>
              <w:t>序号</w:t>
            </w:r>
          </w:p>
        </w:tc>
        <w:tc>
          <w:tcPr>
            <w:tcW w:w="2568" w:type="dxa"/>
            <w:tcBorders>
              <w:top w:val="single" w:color="000000" w:sz="4" w:space="0"/>
              <w:left w:val="single" w:color="000000" w:sz="4" w:space="0"/>
              <w:bottom w:val="single" w:color="000000" w:sz="4" w:space="0"/>
              <w:right w:val="single" w:color="000000" w:sz="4" w:space="0"/>
            </w:tcBorders>
            <w:vAlign w:val="center"/>
          </w:tcPr>
          <w:p>
            <w:pPr>
              <w:pStyle w:val="45"/>
              <w:spacing w:before="156" w:beforeLines="50" w:after="156" w:afterLines="50" w:line="240" w:lineRule="atLeast"/>
              <w:jc w:val="center"/>
              <w:rPr>
                <w:rFonts w:ascii="仿宋_GB2312" w:hAnsi="宋体" w:eastAsia="仿宋_GB2312" w:cs="宋体"/>
                <w:kern w:val="2"/>
                <w:sz w:val="21"/>
                <w:szCs w:val="21"/>
              </w:rPr>
            </w:pPr>
            <w:r>
              <w:rPr>
                <w:rFonts w:hint="eastAsia" w:ascii="仿宋_GB2312" w:hAnsi="宋体" w:eastAsia="仿宋_GB2312" w:cs="宋体"/>
                <w:kern w:val="2"/>
                <w:sz w:val="21"/>
                <w:szCs w:val="21"/>
              </w:rPr>
              <w:t>项目</w:t>
            </w:r>
            <w:r>
              <w:rPr>
                <w:rFonts w:hint="eastAsia" w:ascii="仿宋_GB2312" w:hAnsi="宋体" w:eastAsia="仿宋_GB2312" w:cs="宋体"/>
                <w:kern w:val="2"/>
                <w:sz w:val="21"/>
                <w:szCs w:val="21"/>
                <w:lang w:eastAsia="zh-CN"/>
              </w:rPr>
              <w:t>名称</w:t>
            </w:r>
          </w:p>
        </w:tc>
        <w:tc>
          <w:tcPr>
            <w:tcW w:w="2126" w:type="dxa"/>
            <w:tcBorders>
              <w:top w:val="single" w:color="000000" w:sz="4" w:space="0"/>
              <w:left w:val="single" w:color="000000" w:sz="4" w:space="0"/>
              <w:bottom w:val="single" w:color="000000" w:sz="4" w:space="0"/>
              <w:right w:val="single" w:color="000000" w:sz="4" w:space="0"/>
            </w:tcBorders>
            <w:vAlign w:val="center"/>
          </w:tcPr>
          <w:p>
            <w:pPr>
              <w:pStyle w:val="45"/>
              <w:spacing w:before="156" w:beforeLines="50" w:after="156" w:afterLines="50" w:line="240" w:lineRule="atLeast"/>
              <w:jc w:val="center"/>
              <w:rPr>
                <w:rFonts w:ascii="仿宋_GB2312" w:hAnsi="宋体" w:eastAsia="仿宋_GB2312" w:cs="宋体"/>
                <w:kern w:val="2"/>
                <w:sz w:val="21"/>
                <w:szCs w:val="21"/>
              </w:rPr>
            </w:pPr>
            <w:r>
              <w:rPr>
                <w:rFonts w:hint="eastAsia" w:ascii="仿宋_GB2312" w:hAnsi="宋体" w:eastAsia="仿宋_GB2312" w:cs="宋体"/>
                <w:kern w:val="2"/>
                <w:sz w:val="21"/>
                <w:szCs w:val="21"/>
                <w:lang w:eastAsia="zh-CN"/>
              </w:rPr>
              <w:t>服务对象（委托人）</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45"/>
              <w:spacing w:before="156" w:beforeLines="50" w:after="156" w:afterLines="50" w:line="240" w:lineRule="atLeast"/>
              <w:jc w:val="center"/>
              <w:rPr>
                <w:rFonts w:ascii="仿宋_GB2312" w:hAnsi="宋体" w:eastAsia="仿宋_GB2312" w:cs="宋体"/>
                <w:kern w:val="2"/>
                <w:sz w:val="21"/>
                <w:szCs w:val="21"/>
                <w:lang w:eastAsia="zh-CN"/>
              </w:rPr>
            </w:pPr>
            <w:r>
              <w:rPr>
                <w:rFonts w:hint="eastAsia" w:ascii="仿宋_GB2312" w:hAnsi="宋体" w:eastAsia="仿宋_GB2312" w:cs="宋体"/>
                <w:kern w:val="2"/>
                <w:sz w:val="21"/>
                <w:szCs w:val="21"/>
                <w:lang w:eastAsia="zh-CN"/>
              </w:rPr>
              <w:t>服务对象单位类型性质</w:t>
            </w:r>
          </w:p>
        </w:tc>
        <w:tc>
          <w:tcPr>
            <w:tcW w:w="1551" w:type="dxa"/>
            <w:tcBorders>
              <w:top w:val="single" w:color="000000" w:sz="4" w:space="0"/>
              <w:left w:val="single" w:color="000000" w:sz="4" w:space="0"/>
              <w:bottom w:val="single" w:color="000000" w:sz="4" w:space="0"/>
              <w:right w:val="single" w:color="000000" w:sz="4" w:space="0"/>
            </w:tcBorders>
            <w:vAlign w:val="center"/>
          </w:tcPr>
          <w:p>
            <w:pPr>
              <w:pStyle w:val="45"/>
              <w:spacing w:before="156" w:beforeLines="50" w:after="156" w:afterLines="50" w:line="240" w:lineRule="atLeast"/>
              <w:jc w:val="center"/>
              <w:rPr>
                <w:rFonts w:ascii="仿宋_GB2312" w:hAnsi="宋体" w:eastAsia="仿宋_GB2312" w:cs="宋体"/>
                <w:kern w:val="2"/>
                <w:sz w:val="21"/>
                <w:szCs w:val="21"/>
                <w:lang w:eastAsia="zh-CN"/>
              </w:rPr>
            </w:pPr>
            <w:r>
              <w:rPr>
                <w:rFonts w:hint="eastAsia" w:ascii="仿宋_GB2312" w:hAnsi="宋体" w:eastAsia="仿宋_GB2312" w:cs="宋体"/>
                <w:kern w:val="2"/>
                <w:sz w:val="21"/>
                <w:szCs w:val="21"/>
                <w:lang w:eastAsia="zh-CN"/>
              </w:rPr>
              <w:t>服务期限</w:t>
            </w:r>
          </w:p>
        </w:tc>
      </w:tr>
      <w:tr>
        <w:tblPrEx>
          <w:tblCellMar>
            <w:top w:w="0" w:type="dxa"/>
            <w:left w:w="57" w:type="dxa"/>
            <w:bottom w:w="0" w:type="dxa"/>
            <w:right w:w="57" w:type="dxa"/>
          </w:tblCellMar>
        </w:tblPrEx>
        <w:trPr>
          <w:trHeight w:val="20" w:hRule="atLeast"/>
          <w:jc w:val="center"/>
        </w:trPr>
        <w:tc>
          <w:tcPr>
            <w:tcW w:w="54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2568"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212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1551"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r>
      <w:tr>
        <w:tblPrEx>
          <w:tblCellMar>
            <w:top w:w="0" w:type="dxa"/>
            <w:left w:w="57" w:type="dxa"/>
            <w:bottom w:w="0" w:type="dxa"/>
            <w:right w:w="57" w:type="dxa"/>
          </w:tblCellMar>
        </w:tblPrEx>
        <w:trPr>
          <w:trHeight w:val="20" w:hRule="atLeast"/>
          <w:jc w:val="center"/>
        </w:trPr>
        <w:tc>
          <w:tcPr>
            <w:tcW w:w="54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2568"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212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1551"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r>
      <w:tr>
        <w:tblPrEx>
          <w:tblCellMar>
            <w:top w:w="0" w:type="dxa"/>
            <w:left w:w="57" w:type="dxa"/>
            <w:bottom w:w="0" w:type="dxa"/>
            <w:right w:w="57" w:type="dxa"/>
          </w:tblCellMar>
        </w:tblPrEx>
        <w:trPr>
          <w:trHeight w:val="20" w:hRule="atLeast"/>
          <w:jc w:val="center"/>
        </w:trPr>
        <w:tc>
          <w:tcPr>
            <w:tcW w:w="54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2568"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212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1551"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r>
      <w:tr>
        <w:tblPrEx>
          <w:tblCellMar>
            <w:top w:w="0" w:type="dxa"/>
            <w:left w:w="57" w:type="dxa"/>
            <w:bottom w:w="0" w:type="dxa"/>
            <w:right w:w="57" w:type="dxa"/>
          </w:tblCellMar>
        </w:tblPrEx>
        <w:trPr>
          <w:trHeight w:val="20" w:hRule="atLeast"/>
          <w:jc w:val="center"/>
        </w:trPr>
        <w:tc>
          <w:tcPr>
            <w:tcW w:w="54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2568"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212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1551"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r>
      <w:tr>
        <w:tblPrEx>
          <w:tblCellMar>
            <w:top w:w="0" w:type="dxa"/>
            <w:left w:w="57" w:type="dxa"/>
            <w:bottom w:w="0" w:type="dxa"/>
            <w:right w:w="57" w:type="dxa"/>
          </w:tblCellMar>
        </w:tblPrEx>
        <w:trPr>
          <w:trHeight w:val="20" w:hRule="atLeast"/>
          <w:jc w:val="center"/>
        </w:trPr>
        <w:tc>
          <w:tcPr>
            <w:tcW w:w="54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2568"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212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1551"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r>
      <w:tr>
        <w:tblPrEx>
          <w:tblCellMar>
            <w:top w:w="0" w:type="dxa"/>
            <w:left w:w="57" w:type="dxa"/>
            <w:bottom w:w="0" w:type="dxa"/>
            <w:right w:w="57" w:type="dxa"/>
          </w:tblCellMar>
        </w:tblPrEx>
        <w:trPr>
          <w:trHeight w:val="20" w:hRule="atLeast"/>
          <w:jc w:val="center"/>
        </w:trPr>
        <w:tc>
          <w:tcPr>
            <w:tcW w:w="54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2568"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212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1551"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r>
      <w:tr>
        <w:tblPrEx>
          <w:tblCellMar>
            <w:top w:w="0" w:type="dxa"/>
            <w:left w:w="57" w:type="dxa"/>
            <w:bottom w:w="0" w:type="dxa"/>
            <w:right w:w="57" w:type="dxa"/>
          </w:tblCellMar>
        </w:tblPrEx>
        <w:trPr>
          <w:trHeight w:val="20" w:hRule="atLeast"/>
          <w:jc w:val="center"/>
        </w:trPr>
        <w:tc>
          <w:tcPr>
            <w:tcW w:w="54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2568"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212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1551"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r>
      <w:tr>
        <w:tblPrEx>
          <w:tblCellMar>
            <w:top w:w="0" w:type="dxa"/>
            <w:left w:w="57" w:type="dxa"/>
            <w:bottom w:w="0" w:type="dxa"/>
            <w:right w:w="57" w:type="dxa"/>
          </w:tblCellMar>
        </w:tblPrEx>
        <w:trPr>
          <w:trHeight w:val="20" w:hRule="atLeast"/>
          <w:jc w:val="center"/>
        </w:trPr>
        <w:tc>
          <w:tcPr>
            <w:tcW w:w="54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2568"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212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c>
          <w:tcPr>
            <w:tcW w:w="1551"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line="240" w:lineRule="atLeast"/>
              <w:jc w:val="center"/>
              <w:rPr>
                <w:rFonts w:ascii="仿宋_GB2312" w:eastAsia="仿宋_GB2312"/>
                <w:kern w:val="2"/>
              </w:rPr>
            </w:pPr>
          </w:p>
        </w:tc>
      </w:tr>
    </w:tbl>
    <w:p>
      <w:pPr>
        <w:spacing w:after="0" w:line="440" w:lineRule="exact"/>
        <w:rPr>
          <w:rFonts w:asciiTheme="majorEastAsia" w:hAnsiTheme="majorEastAsia" w:eastAsiaTheme="majorEastAsia"/>
        </w:rPr>
      </w:pPr>
      <w:r>
        <w:rPr>
          <w:rFonts w:hint="eastAsia" w:asciiTheme="majorEastAsia" w:hAnsiTheme="majorEastAsia" w:eastAsiaTheme="majorEastAsia"/>
          <w:b/>
        </w:rPr>
        <w:t>注：</w:t>
      </w:r>
      <w:r>
        <w:rPr>
          <w:rFonts w:hint="eastAsia" w:asciiTheme="majorEastAsia" w:hAnsiTheme="majorEastAsia" w:eastAsiaTheme="majorEastAsia"/>
        </w:rPr>
        <w:t>1</w:t>
      </w:r>
      <w:r>
        <w:rPr>
          <w:rFonts w:asciiTheme="majorEastAsia" w:hAnsiTheme="majorEastAsia" w:eastAsiaTheme="majorEastAsia"/>
        </w:rPr>
        <w:t>.</w:t>
      </w:r>
      <w:r>
        <w:rPr>
          <w:rFonts w:hint="eastAsia" w:asciiTheme="majorEastAsia" w:hAnsiTheme="majorEastAsia" w:eastAsiaTheme="majorEastAsia"/>
        </w:rPr>
        <w:t>表后按要求附相关证明材料并加盖比选申请人公章，未附证明材料或无法体现相关要求的业绩视为无效；</w:t>
      </w:r>
    </w:p>
    <w:p>
      <w:pPr>
        <w:spacing w:after="0" w:line="440" w:lineRule="exact"/>
        <w:ind w:firstLine="440" w:firstLineChars="200"/>
        <w:rPr>
          <w:rFonts w:asciiTheme="majorEastAsia" w:hAnsiTheme="majorEastAsia" w:eastAsiaTheme="majorEastAsia"/>
        </w:rPr>
      </w:pPr>
      <w:r>
        <w:rPr>
          <w:rFonts w:hint="eastAsia" w:asciiTheme="majorEastAsia" w:hAnsiTheme="majorEastAsia" w:eastAsiaTheme="majorEastAsia"/>
        </w:rPr>
        <w:t>2.如近年来，比选申请人机构发生合法变更或重组或法人名称变更时，应根据相关部门的合法批件或其他相关证明材料来证明其所附业绩的继承性；</w:t>
      </w:r>
    </w:p>
    <w:p>
      <w:pPr>
        <w:ind w:firstLine="405"/>
        <w:rPr>
          <w:rFonts w:ascii="仿宋_GB2312" w:hAnsi="仿宋_GB2312" w:eastAsia="仿宋_GB2312" w:cs="仿宋_GB2312"/>
          <w:szCs w:val="32"/>
        </w:rPr>
      </w:pPr>
      <w:r>
        <w:rPr>
          <w:rFonts w:ascii="仿宋_GB2312" w:hAnsi="仿宋_GB2312" w:eastAsia="仿宋_GB2312" w:cs="仿宋_GB2312"/>
          <w:szCs w:val="32"/>
        </w:rPr>
        <w:br w:type="page"/>
      </w:r>
    </w:p>
    <w:p>
      <w:pPr>
        <w:ind w:firstLine="405"/>
        <w:rPr>
          <w:rFonts w:ascii="宋体" w:hAnsi="宋体" w:eastAsia="宋体"/>
        </w:rPr>
      </w:pPr>
      <w:bookmarkStart w:id="27" w:name="_Toc96874757"/>
      <w:bookmarkStart w:id="28" w:name="_Toc96874912"/>
      <w:r>
        <w:rPr>
          <w:rFonts w:asciiTheme="majorEastAsia" w:hAnsiTheme="majorEastAsia" w:eastAsiaTheme="majorEastAsia"/>
        </w:rPr>
        <w:t>七</w:t>
      </w:r>
      <w:r>
        <w:rPr>
          <w:rFonts w:hint="eastAsia" w:asciiTheme="majorEastAsia" w:hAnsiTheme="majorEastAsia" w:eastAsiaTheme="majorEastAsia"/>
        </w:rPr>
        <w:t>.</w:t>
      </w:r>
      <w:bookmarkEnd w:id="27"/>
      <w:bookmarkEnd w:id="28"/>
      <w:bookmarkStart w:id="29" w:name="_Toc96874759"/>
      <w:bookmarkStart w:id="30" w:name="_Toc96874914"/>
      <w:bookmarkStart w:id="31" w:name="_Toc498423078"/>
      <w:r>
        <w:rPr>
          <w:rFonts w:hint="eastAsia" w:ascii="宋体" w:hAnsi="宋体" w:eastAsia="宋体"/>
        </w:rPr>
        <w:t>信誉承诺函</w:t>
      </w:r>
      <w:bookmarkEnd w:id="29"/>
      <w:bookmarkEnd w:id="30"/>
    </w:p>
    <w:p>
      <w:pPr>
        <w:spacing w:before="156" w:beforeLines="50" w:after="156" w:afterLines="50" w:line="360" w:lineRule="auto"/>
        <w:jc w:val="center"/>
        <w:rPr>
          <w:rFonts w:ascii="仿宋_GB2312" w:hAnsi="宋体" w:eastAsia="仿宋_GB2312"/>
          <w:b/>
          <w:sz w:val="32"/>
          <w:szCs w:val="36"/>
        </w:rPr>
      </w:pPr>
      <w:r>
        <w:rPr>
          <w:rFonts w:hint="eastAsia" w:ascii="仿宋_GB2312" w:hAnsi="宋体" w:eastAsia="仿宋_GB2312"/>
          <w:b/>
          <w:sz w:val="32"/>
          <w:szCs w:val="36"/>
        </w:rPr>
        <w:t>信誉承诺函</w:t>
      </w:r>
    </w:p>
    <w:p>
      <w:pPr>
        <w:spacing w:after="0" w:line="560" w:lineRule="exact"/>
        <w:rPr>
          <w:rFonts w:ascii="仿宋_GB2312" w:hAnsi="仿宋_GB2312" w:eastAsia="仿宋_GB2312" w:cs="仿宋_GB2312"/>
          <w:b/>
          <w:bCs/>
          <w:sz w:val="44"/>
          <w:szCs w:val="44"/>
        </w:rPr>
      </w:pPr>
    </w:p>
    <w:p>
      <w:pPr>
        <w:spacing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致： </w:t>
      </w:r>
      <w:r>
        <w:rPr>
          <w:rFonts w:ascii="仿宋_GB2312" w:hAnsi="仿宋_GB2312" w:eastAsia="仿宋_GB2312" w:cs="仿宋_GB2312"/>
          <w:sz w:val="28"/>
          <w:szCs w:val="28"/>
        </w:rPr>
        <w:t xml:space="preserve">                </w:t>
      </w:r>
    </w:p>
    <w:p>
      <w:pPr>
        <w:spacing w:after="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近三年以来，未受过行政处罚、行业惩戒或有效投诉，不存在下列情形之一：弄虚作假、恶意串通、营私舞弊等严重不诚信行为的；分别接受利益相对方委托，就同一事项提供有利益冲突的中介服务的；出具虚假或重大失实的业务报告的；违反中介服务合同约定给委托方造成重大损失的。</w:t>
      </w:r>
    </w:p>
    <w:p>
      <w:pPr>
        <w:spacing w:after="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特此承诺！</w:t>
      </w:r>
    </w:p>
    <w:p>
      <w:pPr>
        <w:spacing w:after="0" w:line="560" w:lineRule="exact"/>
        <w:ind w:left="1200" w:firstLine="480"/>
        <w:rPr>
          <w:rFonts w:ascii="仿宋_GB2312" w:hAnsi="仿宋_GB2312" w:eastAsia="仿宋_GB2312" w:cs="仿宋_GB2312"/>
          <w:sz w:val="28"/>
          <w:szCs w:val="28"/>
        </w:rPr>
      </w:pPr>
    </w:p>
    <w:p>
      <w:pPr>
        <w:spacing w:after="0" w:line="560" w:lineRule="exact"/>
        <w:ind w:left="1200" w:firstLine="480"/>
        <w:rPr>
          <w:rFonts w:ascii="仿宋_GB2312" w:hAnsi="仿宋_GB2312" w:eastAsia="仿宋_GB2312" w:cs="仿宋_GB2312"/>
          <w:sz w:val="28"/>
          <w:szCs w:val="28"/>
        </w:rPr>
      </w:pPr>
    </w:p>
    <w:p>
      <w:pPr>
        <w:spacing w:after="0" w:line="560" w:lineRule="exact"/>
        <w:ind w:left="1200" w:firstLine="480"/>
        <w:rPr>
          <w:rFonts w:ascii="仿宋_GB2312" w:hAnsi="仿宋_GB2312" w:eastAsia="仿宋_GB2312" w:cs="仿宋_GB2312"/>
          <w:sz w:val="28"/>
          <w:szCs w:val="28"/>
        </w:rPr>
      </w:pPr>
    </w:p>
    <w:p>
      <w:pPr>
        <w:spacing w:line="560" w:lineRule="exact"/>
        <w:ind w:right="640" w:firstLine="980" w:firstLineChars="350"/>
        <w:rPr>
          <w:rFonts w:ascii="仿宋_GB2312" w:hAnsi="仿宋_GB2312" w:eastAsia="仿宋_GB2312" w:cs="仿宋_GB2312"/>
          <w:sz w:val="28"/>
          <w:szCs w:val="28"/>
        </w:rPr>
      </w:pPr>
      <w:r>
        <w:rPr>
          <w:rFonts w:hint="eastAsia" w:ascii="仿宋_GB2312" w:hAnsi="仿宋_GB2312" w:eastAsia="仿宋_GB2312" w:cs="仿宋_GB2312"/>
          <w:sz w:val="28"/>
          <w:szCs w:val="28"/>
        </w:rPr>
        <w:t>比选申请人：</w:t>
      </w:r>
      <w:r>
        <w:rPr>
          <w:rFonts w:ascii="仿宋_GB2312" w:hAnsi="仿宋_GB2312" w:eastAsia="仿宋_GB2312" w:cs="仿宋_GB2312"/>
          <w:sz w:val="28"/>
          <w:szCs w:val="28"/>
        </w:rPr>
        <w:t xml:space="preserve">                （单位盖章）   </w:t>
      </w:r>
    </w:p>
    <w:p>
      <w:pPr>
        <w:spacing w:line="560" w:lineRule="exact"/>
        <w:ind w:firstLine="980" w:firstLineChars="350"/>
        <w:rPr>
          <w:rFonts w:ascii="仿宋_GB2312" w:hAnsi="仿宋_GB2312" w:eastAsia="仿宋_GB2312" w:cs="仿宋_GB2312"/>
          <w:sz w:val="28"/>
          <w:szCs w:val="28"/>
        </w:rPr>
      </w:pPr>
      <w:r>
        <w:rPr>
          <w:rFonts w:hint="eastAsia" w:ascii="仿宋_GB2312" w:hAnsi="仿宋_GB2312" w:eastAsia="仿宋_GB2312" w:cs="仿宋_GB2312"/>
          <w:sz w:val="28"/>
        </w:rPr>
        <w:t>法定代表人（负责人）</w:t>
      </w:r>
      <w:r>
        <w:rPr>
          <w:rFonts w:hint="eastAsia" w:ascii="仿宋_GB2312" w:hAnsi="仿宋_GB2312" w:eastAsia="仿宋_GB2312" w:cs="仿宋_GB2312"/>
          <w:sz w:val="28"/>
          <w:szCs w:val="28"/>
        </w:rPr>
        <w:t>或授权代理人：</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（签字）</w:t>
      </w:r>
    </w:p>
    <w:p>
      <w:pPr>
        <w:spacing w:after="0" w:line="560" w:lineRule="exact"/>
        <w:rPr>
          <w:rFonts w:ascii="仿宋_GB2312" w:hAnsi="仿宋_GB2312" w:eastAsia="仿宋_GB2312" w:cs="仿宋_GB2312"/>
          <w:sz w:val="28"/>
          <w:szCs w:val="28"/>
        </w:rPr>
      </w:pPr>
    </w:p>
    <w:p>
      <w:pPr>
        <w:spacing w:after="0" w:line="560" w:lineRule="exact"/>
        <w:rPr>
          <w:rFonts w:ascii="仿宋_GB2312" w:hAnsi="仿宋_GB2312" w:eastAsia="仿宋_GB2312" w:cs="仿宋_GB2312"/>
          <w:sz w:val="28"/>
          <w:szCs w:val="28"/>
        </w:rPr>
      </w:pPr>
    </w:p>
    <w:p>
      <w:pPr>
        <w:spacing w:after="0" w:line="560" w:lineRule="exact"/>
        <w:ind w:firstLine="5320" w:firstLineChars="1900"/>
        <w:rPr>
          <w:rFonts w:ascii="仿宋_GB2312" w:hAnsi="仿宋_GB2312" w:eastAsia="仿宋_GB2312" w:cs="仿宋_GB2312"/>
          <w:sz w:val="28"/>
          <w:szCs w:val="28"/>
        </w:rPr>
      </w:pPr>
      <w:r>
        <w:rPr>
          <w:rFonts w:hint="eastAsia" w:ascii="仿宋_GB2312" w:hAnsi="仿宋_GB2312" w:eastAsia="仿宋_GB2312" w:cs="仿宋_GB2312"/>
          <w:sz w:val="28"/>
          <w:szCs w:val="28"/>
        </w:rPr>
        <w:t>年</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w:t>
      </w:r>
    </w:p>
    <w:p>
      <w:pPr>
        <w:rPr>
          <w:rFonts w:asciiTheme="majorEastAsia" w:hAnsiTheme="majorEastAsia" w:eastAsiaTheme="majorEastAsia"/>
          <w:sz w:val="32"/>
        </w:rPr>
      </w:pPr>
      <w:r>
        <w:rPr>
          <w:rFonts w:asciiTheme="majorEastAsia" w:hAnsiTheme="majorEastAsia" w:eastAsiaTheme="majorEastAsia"/>
          <w:sz w:val="32"/>
        </w:rPr>
        <w:br w:type="page"/>
      </w:r>
    </w:p>
    <w:bookmarkEnd w:id="31"/>
    <w:p>
      <w:pPr>
        <w:ind w:firstLine="5320" w:firstLineChars="1900"/>
        <w:rPr>
          <w:rFonts w:ascii="仿宋_GB2312" w:hAnsi="仿宋_GB2312" w:eastAsia="仿宋_GB2312" w:cs="仿宋_GB2312"/>
          <w:sz w:val="28"/>
          <w:szCs w:val="28"/>
        </w:rPr>
      </w:pPr>
    </w:p>
    <w:p>
      <w:pPr>
        <w:outlineLvl w:val="1"/>
        <w:rPr>
          <w:rFonts w:ascii="宋体" w:hAnsi="宋体" w:eastAsia="宋体" w:cs="仿宋_GB2312"/>
          <w:szCs w:val="32"/>
        </w:rPr>
      </w:pPr>
      <w:bookmarkStart w:id="32" w:name="_Toc96874761"/>
      <w:bookmarkStart w:id="33" w:name="_Toc96874916"/>
      <w:r>
        <w:rPr>
          <w:rFonts w:hint="eastAsia" w:ascii="宋体" w:hAnsi="宋体" w:eastAsia="宋体" w:cs="仿宋_GB2312"/>
          <w:szCs w:val="32"/>
        </w:rPr>
        <w:t>八</w:t>
      </w:r>
      <w:r>
        <w:rPr>
          <w:rFonts w:ascii="宋体" w:hAnsi="宋体" w:eastAsia="宋体" w:cs="仿宋_GB2312"/>
          <w:szCs w:val="32"/>
        </w:rPr>
        <w:t>.</w:t>
      </w:r>
      <w:r>
        <w:rPr>
          <w:rFonts w:hint="eastAsia" w:ascii="宋体" w:hAnsi="宋体" w:eastAsia="宋体" w:cs="仿宋_GB2312"/>
          <w:szCs w:val="32"/>
        </w:rPr>
        <w:t>服务方案</w:t>
      </w:r>
      <w:bookmarkEnd w:id="32"/>
      <w:bookmarkEnd w:id="33"/>
    </w:p>
    <w:p>
      <w:pPr>
        <w:spacing w:line="660" w:lineRule="exact"/>
        <w:jc w:val="center"/>
        <w:rPr>
          <w:rFonts w:ascii="仿宋_GB2312" w:hAnsi="仿宋_GB2312" w:eastAsia="仿宋_GB2312" w:cs="仿宋_GB2312"/>
          <w:b/>
          <w:bCs/>
          <w:sz w:val="32"/>
          <w:szCs w:val="32"/>
        </w:rPr>
      </w:pPr>
      <w:r>
        <w:rPr>
          <w:rFonts w:ascii="仿宋_GB2312" w:hAnsi="仿宋_GB2312" w:eastAsia="仿宋_GB2312" w:cs="仿宋_GB2312"/>
          <w:b/>
          <w:bCs/>
          <w:sz w:val="32"/>
          <w:szCs w:val="32"/>
        </w:rPr>
        <w:t>服务方案</w:t>
      </w:r>
    </w:p>
    <w:p>
      <w:pPr>
        <w:spacing w:after="0" w:line="56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（格式自拟）</w:t>
      </w:r>
    </w:p>
    <w:p>
      <w:pPr>
        <w:outlineLvl w:val="1"/>
        <w:rPr>
          <w:rFonts w:ascii="宋体" w:hAnsi="宋体" w:eastAsia="宋体" w:cs="仿宋_GB2312"/>
          <w:szCs w:val="32"/>
        </w:rPr>
      </w:pPr>
      <w:r>
        <w:rPr>
          <w:rFonts w:ascii="方正小标宋简体" w:hAnsi="方正小标宋简体" w:eastAsia="方正小标宋简体" w:cs="方正小标宋简体"/>
          <w:sz w:val="32"/>
          <w:szCs w:val="32"/>
        </w:rPr>
        <w:br w:type="page"/>
      </w:r>
      <w:bookmarkStart w:id="34" w:name="_Toc96874917"/>
      <w:bookmarkStart w:id="35" w:name="_Toc96874762"/>
      <w:r>
        <w:rPr>
          <w:rFonts w:hint="eastAsia" w:ascii="宋体" w:hAnsi="宋体" w:eastAsia="宋体" w:cs="仿宋_GB2312"/>
          <w:szCs w:val="32"/>
        </w:rPr>
        <w:t>九</w:t>
      </w:r>
      <w:r>
        <w:rPr>
          <w:rFonts w:ascii="宋体" w:hAnsi="宋体" w:eastAsia="宋体" w:cs="仿宋_GB2312"/>
          <w:szCs w:val="32"/>
        </w:rPr>
        <w:t>.</w:t>
      </w:r>
      <w:r>
        <w:rPr>
          <w:rFonts w:hint="eastAsia" w:ascii="宋体" w:hAnsi="宋体" w:eastAsia="宋体" w:cs="仿宋_GB2312"/>
          <w:szCs w:val="32"/>
        </w:rPr>
        <w:t>其他资料（如有）</w:t>
      </w:r>
      <w:bookmarkEnd w:id="34"/>
      <w:bookmarkEnd w:id="35"/>
    </w:p>
    <w:p>
      <w:pPr>
        <w:spacing w:after="0" w:line="56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注：比选申请人认为需要提供的其他材料（如无，可删除此章节内容）。</w:t>
      </w:r>
      <w:r>
        <w:rPr>
          <w:rFonts w:ascii="方正小标宋简体" w:hAnsi="方正小标宋简体" w:eastAsia="方正小标宋简体" w:cs="方正小标宋简体"/>
          <w:sz w:val="32"/>
          <w:szCs w:val="32"/>
        </w:rPr>
        <w:br w:type="page"/>
      </w:r>
    </w:p>
    <w:p>
      <w:pPr>
        <w:pStyle w:val="29"/>
        <w:spacing w:line="560" w:lineRule="exact"/>
        <w:rPr>
          <w:rFonts w:ascii="仿宋_GB2312" w:eastAsia="仿宋_GB2312"/>
          <w:color w:val="auto"/>
          <w:sz w:val="28"/>
          <w:szCs w:val="28"/>
        </w:rPr>
      </w:pPr>
      <w:r>
        <w:rPr>
          <w:rFonts w:hint="eastAsia" w:ascii="方正小标宋简体" w:hAnsi="方正小标宋简体" w:eastAsia="方正小标宋简体" w:cs="方正小标宋简体"/>
          <w:color w:val="auto"/>
          <w:sz w:val="32"/>
          <w:szCs w:val="32"/>
        </w:rPr>
        <w:t>（注：本表最终报价在谈判结束后现场填报，申请人可提前加盖公章）</w:t>
      </w:r>
    </w:p>
    <w:p>
      <w:pPr>
        <w:pStyle w:val="29"/>
      </w:pPr>
    </w:p>
    <w:p>
      <w:pPr>
        <w:spacing w:line="6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最终报价表</w:t>
      </w:r>
    </w:p>
    <w:p>
      <w:pPr>
        <w:spacing w:before="156" w:beforeLines="5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致：四川蜀道铁路运营管理集团有限责任公司</w:t>
      </w:r>
    </w:p>
    <w:p>
      <w:pPr>
        <w:spacing w:line="560" w:lineRule="exact"/>
        <w:ind w:firstLine="630" w:firstLineChars="225"/>
        <w:rPr>
          <w:rFonts w:ascii="仿宋_GB2312" w:hAnsi="仿宋_GB2312" w:eastAsia="仿宋_GB2312" w:cs="仿宋_GB2312"/>
          <w:sz w:val="28"/>
          <w:szCs w:val="28"/>
        </w:rPr>
      </w:pPr>
      <w:r>
        <w:rPr>
          <w:rFonts w:hint="eastAsia" w:ascii="仿宋_GB2312" w:hAnsi="仿宋_GB2312" w:eastAsia="仿宋_GB2312" w:cs="仿宋_GB2312"/>
          <w:sz w:val="28"/>
          <w:szCs w:val="28"/>
        </w:rPr>
        <w:t>我所经过仔细研究，在充分理解和响应比选文件的基础上，我方对贵公司</w:t>
      </w:r>
      <w:r>
        <w:rPr>
          <w:rFonts w:ascii="仿宋_GB2312" w:hAnsi="仿宋_GB2312" w:eastAsia="仿宋_GB2312" w:cs="仿宋_GB2312"/>
          <w:sz w:val="28"/>
          <w:szCs w:val="28"/>
        </w:rPr>
        <w:t>2022</w:t>
      </w:r>
      <w:r>
        <w:rPr>
          <w:rFonts w:hint="eastAsia" w:ascii="仿宋_GB2312" w:hAnsi="仿宋_GB2312" w:eastAsia="仿宋_GB2312" w:cs="仿宋_GB2312"/>
          <w:sz w:val="28"/>
          <w:szCs w:val="28"/>
        </w:rPr>
        <w:t>年度常年税务顾问服务的最终报价如下：</w:t>
      </w:r>
    </w:p>
    <w:tbl>
      <w:tblPr>
        <w:tblStyle w:val="23"/>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8"/>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948" w:type="dxa"/>
            <w:vAlign w:val="center"/>
          </w:tcPr>
          <w:p>
            <w:pPr>
              <w:widowControl w:val="0"/>
              <w:spacing w:line="560" w:lineRule="exact"/>
              <w:jc w:val="center"/>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申请人名称</w:t>
            </w:r>
          </w:p>
        </w:tc>
        <w:tc>
          <w:tcPr>
            <w:tcW w:w="5670" w:type="dxa"/>
            <w:vAlign w:val="center"/>
          </w:tcPr>
          <w:p>
            <w:pPr>
              <w:widowControl w:val="0"/>
              <w:spacing w:line="560" w:lineRule="exact"/>
              <w:ind w:firstLine="140" w:firstLineChars="50"/>
              <w:jc w:val="center"/>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常年税务顾问服务费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jc w:val="center"/>
        </w:trPr>
        <w:tc>
          <w:tcPr>
            <w:tcW w:w="2948" w:type="dxa"/>
            <w:vAlign w:val="center"/>
          </w:tcPr>
          <w:p>
            <w:pPr>
              <w:widowControl w:val="0"/>
              <w:spacing w:line="560" w:lineRule="exact"/>
              <w:jc w:val="center"/>
              <w:rPr>
                <w:rFonts w:ascii="仿宋_GB2312" w:hAnsi="仿宋_GB2312" w:eastAsia="仿宋_GB2312" w:cs="仿宋_GB2312"/>
                <w:kern w:val="2"/>
                <w:sz w:val="28"/>
                <w:szCs w:val="28"/>
              </w:rPr>
            </w:pPr>
          </w:p>
        </w:tc>
        <w:tc>
          <w:tcPr>
            <w:tcW w:w="5670" w:type="dxa"/>
            <w:vAlign w:val="center"/>
          </w:tcPr>
          <w:p>
            <w:pPr>
              <w:widowControl w:val="0"/>
              <w:spacing w:line="560" w:lineRule="exact"/>
              <w:ind w:firstLine="280" w:firstLineChars="100"/>
              <w:jc w:val="both"/>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rPr>
              <w:t>含税</w:t>
            </w:r>
            <w:r>
              <w:rPr>
                <w:rFonts w:hint="eastAsia" w:ascii="仿宋_GB2312" w:hAnsi="仿宋_GB2312" w:eastAsia="仿宋_GB2312" w:cs="仿宋_GB2312"/>
                <w:kern w:val="2"/>
                <w:sz w:val="28"/>
                <w:szCs w:val="28"/>
              </w:rPr>
              <w:t>金额（小写）：</w:t>
            </w:r>
            <w:r>
              <w:rPr>
                <w:rFonts w:hint="eastAsia" w:ascii="仿宋_GB2312" w:hAnsi="仿宋_GB2312" w:eastAsia="仿宋_GB2312" w:cs="仿宋_GB2312"/>
                <w:kern w:val="2"/>
                <w:sz w:val="28"/>
                <w:szCs w:val="28"/>
                <w:u w:val="single"/>
              </w:rPr>
              <w:t xml:space="preserve">         </w:t>
            </w:r>
            <w:r>
              <w:rPr>
                <w:rFonts w:ascii="仿宋_GB2312" w:hAnsi="仿宋_GB2312" w:eastAsia="仿宋_GB2312" w:cs="仿宋_GB2312"/>
                <w:kern w:val="2"/>
                <w:sz w:val="28"/>
                <w:szCs w:val="28"/>
                <w:u w:val="single"/>
              </w:rPr>
              <w:t>元</w:t>
            </w:r>
            <w:r>
              <w:rPr>
                <w:rFonts w:hint="eastAsia" w:ascii="仿宋_GB2312" w:hAnsi="仿宋_GB2312" w:eastAsia="仿宋_GB2312" w:cs="仿宋_GB2312"/>
                <w:kern w:val="2"/>
                <w:sz w:val="28"/>
                <w:szCs w:val="28"/>
                <w:u w:val="single"/>
                <w:lang w:eastAsia="zh-CN"/>
              </w:rPr>
              <w:t>（</w:t>
            </w:r>
            <w:r>
              <w:rPr>
                <w:rFonts w:hint="eastAsia" w:ascii="仿宋_GB2312" w:hAnsi="仿宋_GB2312" w:eastAsia="仿宋_GB2312" w:cs="仿宋_GB2312"/>
                <w:kern w:val="2"/>
                <w:sz w:val="28"/>
                <w:szCs w:val="28"/>
                <w:u w:val="single"/>
                <w:lang w:val="en-US" w:eastAsia="zh-CN"/>
              </w:rPr>
              <w:t>税率  %</w:t>
            </w:r>
            <w:r>
              <w:rPr>
                <w:rFonts w:hint="eastAsia" w:ascii="仿宋_GB2312" w:hAnsi="仿宋_GB2312" w:eastAsia="仿宋_GB2312" w:cs="仿宋_GB2312"/>
                <w:kern w:val="2"/>
                <w:sz w:val="28"/>
                <w:szCs w:val="28"/>
                <w:u w:val="single"/>
                <w:lang w:eastAsia="zh-CN"/>
              </w:rPr>
              <w:t>）</w:t>
            </w:r>
          </w:p>
          <w:p>
            <w:pPr>
              <w:widowControl w:val="0"/>
              <w:spacing w:line="560" w:lineRule="exact"/>
              <w:ind w:firstLine="280" w:firstLineChars="100"/>
              <w:jc w:val="left"/>
              <w:rPr>
                <w:rFonts w:ascii="仿宋_GB2312" w:hAnsi="仿宋_GB2312" w:eastAsia="仿宋_GB2312" w:cs="仿宋_GB2312"/>
                <w:kern w:val="2"/>
                <w:sz w:val="28"/>
                <w:szCs w:val="28"/>
              </w:rPr>
            </w:pPr>
            <w:r>
              <w:rPr>
                <w:rFonts w:ascii="仿宋_GB2312" w:hAnsi="仿宋_GB2312" w:eastAsia="仿宋_GB2312" w:cs="仿宋_GB2312"/>
                <w:kern w:val="2"/>
                <w:sz w:val="28"/>
                <w:szCs w:val="28"/>
              </w:rPr>
              <w:t>(大写：</w:t>
            </w:r>
            <w:r>
              <w:rPr>
                <w:rFonts w:hint="eastAsia" w:ascii="仿宋_GB2312" w:hAnsi="仿宋_GB2312" w:eastAsia="仿宋_GB2312" w:cs="仿宋_GB2312"/>
                <w:kern w:val="2"/>
                <w:sz w:val="28"/>
                <w:szCs w:val="28"/>
              </w:rPr>
              <w:t>人民币</w:t>
            </w:r>
            <w:r>
              <w:rPr>
                <w:rFonts w:ascii="仿宋_GB2312" w:hAnsi="仿宋_GB2312" w:eastAsia="仿宋_GB2312" w:cs="仿宋_GB2312"/>
                <w:kern w:val="2"/>
                <w:sz w:val="28"/>
                <w:szCs w:val="28"/>
                <w:u w:val="single"/>
              </w:rPr>
              <w:t xml:space="preserve">  </w:t>
            </w:r>
            <w:r>
              <w:rPr>
                <w:rFonts w:hint="eastAsia" w:ascii="仿宋_GB2312" w:hAnsi="仿宋_GB2312" w:eastAsia="仿宋_GB2312" w:cs="仿宋_GB2312"/>
                <w:kern w:val="2"/>
                <w:sz w:val="28"/>
                <w:szCs w:val="28"/>
                <w:u w:val="single"/>
              </w:rPr>
              <w:t xml:space="preserve">        </w:t>
            </w:r>
            <w:r>
              <w:rPr>
                <w:rFonts w:ascii="仿宋_GB2312" w:hAnsi="仿宋_GB2312" w:eastAsia="仿宋_GB2312" w:cs="仿宋_GB2312"/>
                <w:kern w:val="2"/>
                <w:sz w:val="28"/>
                <w:szCs w:val="28"/>
                <w:u w:val="single"/>
              </w:rPr>
              <w:t xml:space="preserve">        </w:t>
            </w:r>
            <w:r>
              <w:rPr>
                <w:rFonts w:hint="eastAsia" w:ascii="仿宋_GB2312" w:hAnsi="仿宋_GB2312" w:eastAsia="仿宋_GB2312" w:cs="仿宋_GB2312"/>
                <w:kern w:val="2"/>
                <w:sz w:val="28"/>
                <w:szCs w:val="28"/>
              </w:rPr>
              <w:t>）</w:t>
            </w:r>
          </w:p>
        </w:tc>
      </w:tr>
    </w:tbl>
    <w:p>
      <w:pPr>
        <w:spacing w:after="0" w:line="440" w:lineRule="exact"/>
        <w:jc w:val="both"/>
        <w:rPr>
          <w:rFonts w:asciiTheme="majorEastAsia" w:hAnsiTheme="majorEastAsia" w:eastAsiaTheme="majorEastAsia"/>
        </w:rPr>
      </w:pPr>
      <w:r>
        <w:rPr>
          <w:rFonts w:hint="eastAsia" w:asciiTheme="majorEastAsia" w:hAnsiTheme="majorEastAsia" w:eastAsiaTheme="majorEastAsia"/>
          <w:b/>
        </w:rPr>
        <w:t>注：</w:t>
      </w:r>
      <w:r>
        <w:rPr>
          <w:rFonts w:hint="eastAsia" w:asciiTheme="majorEastAsia" w:hAnsiTheme="majorEastAsia" w:eastAsiaTheme="majorEastAsia"/>
        </w:rPr>
        <w:t>1、最终报价包括比选申请人完成本项目所需的一切费用。</w:t>
      </w:r>
    </w:p>
    <w:p>
      <w:pPr>
        <w:spacing w:after="0" w:line="440" w:lineRule="exact"/>
        <w:ind w:firstLine="440" w:firstLineChars="200"/>
        <w:jc w:val="both"/>
        <w:rPr>
          <w:rFonts w:asciiTheme="majorEastAsia" w:hAnsiTheme="majorEastAsia" w:eastAsiaTheme="majorEastAsia"/>
        </w:rPr>
      </w:pPr>
      <w:r>
        <w:rPr>
          <w:rFonts w:hint="eastAsia" w:asciiTheme="majorEastAsia" w:hAnsiTheme="majorEastAsia" w:eastAsiaTheme="majorEastAsia"/>
        </w:rPr>
        <w:t>2、本表在谈判结束后由比选申请人的律所负责人或委托代理人手工填写最终报价。</w:t>
      </w:r>
    </w:p>
    <w:p>
      <w:pPr>
        <w:spacing w:after="0" w:line="440" w:lineRule="exact"/>
        <w:ind w:firstLine="440" w:firstLineChars="200"/>
        <w:jc w:val="both"/>
        <w:rPr>
          <w:rFonts w:asciiTheme="majorEastAsia" w:hAnsiTheme="majorEastAsia" w:eastAsiaTheme="majorEastAsia"/>
        </w:rPr>
      </w:pPr>
      <w:r>
        <w:rPr>
          <w:rFonts w:hint="eastAsia" w:asciiTheme="majorEastAsia" w:hAnsiTheme="majorEastAsia" w:eastAsiaTheme="majorEastAsia"/>
        </w:rPr>
        <w:t>3、最终报价超过本项目预算的，作无效响应处理；</w:t>
      </w:r>
    </w:p>
    <w:p>
      <w:pPr>
        <w:spacing w:after="0" w:line="440" w:lineRule="exact"/>
        <w:ind w:firstLine="440" w:firstLineChars="200"/>
        <w:jc w:val="both"/>
        <w:rPr>
          <w:rFonts w:asciiTheme="majorEastAsia" w:hAnsiTheme="majorEastAsia" w:eastAsiaTheme="majorEastAsia"/>
        </w:rPr>
      </w:pPr>
      <w:r>
        <w:rPr>
          <w:rFonts w:hint="eastAsia" w:asciiTheme="majorEastAsia" w:hAnsiTheme="majorEastAsia" w:eastAsiaTheme="majorEastAsia"/>
        </w:rPr>
        <w:t>4、最终报价用于报价评分,并作为与各公司签订合同的费用依据。</w:t>
      </w:r>
    </w:p>
    <w:p>
      <w:pPr>
        <w:pStyle w:val="2"/>
      </w:pPr>
    </w:p>
    <w:p>
      <w:pPr>
        <w:spacing w:after="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比选申请人：</w:t>
      </w:r>
      <w:r>
        <w:rPr>
          <w:rFonts w:ascii="仿宋_GB2312" w:hAnsi="仿宋_GB2312" w:eastAsia="仿宋_GB2312" w:cs="仿宋_GB2312"/>
          <w:sz w:val="28"/>
          <w:szCs w:val="28"/>
        </w:rPr>
        <w:t xml:space="preserve">                （单位盖章）</w:t>
      </w:r>
    </w:p>
    <w:p>
      <w:pPr>
        <w:spacing w:after="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法定代表人（负责人）或授权代理人：</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（签字）</w:t>
      </w:r>
    </w:p>
    <w:p>
      <w:pPr>
        <w:spacing w:after="0" w:line="440" w:lineRule="exact"/>
        <w:ind w:firstLine="640" w:firstLineChars="200"/>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z w:val="32"/>
          <w:szCs w:val="32"/>
        </w:rPr>
        <w:br w:type="page"/>
      </w:r>
    </w:p>
    <w:p>
      <w:pPr>
        <w:spacing w:after="0" w:line="560" w:lineRule="exact"/>
        <w:ind w:firstLine="880" w:firstLineChars="200"/>
        <w:jc w:val="center"/>
        <w:rPr>
          <w:rFonts w:hint="eastAsia" w:ascii="方正小标宋简体" w:hAnsi="方正小标宋简体" w:eastAsia="方正小标宋简体" w:cs="方正小标宋简体"/>
          <w:bCs/>
          <w:kern w:val="44"/>
          <w:sz w:val="44"/>
          <w:szCs w:val="44"/>
        </w:rPr>
      </w:pPr>
      <w:bookmarkStart w:id="36" w:name="_Toc96874918"/>
      <w:r>
        <w:rPr>
          <w:rFonts w:hint="eastAsia" w:ascii="方正小标宋简体" w:hAnsi="方正小标宋简体" w:eastAsia="方正小标宋简体" w:cs="方正小标宋简体"/>
          <w:bCs/>
          <w:kern w:val="44"/>
          <w:sz w:val="44"/>
          <w:szCs w:val="44"/>
        </w:rPr>
        <w:t>第五章  评审办法</w:t>
      </w:r>
      <w:bookmarkEnd w:id="36"/>
    </w:p>
    <w:p>
      <w:pPr>
        <w:numPr>
          <w:ilvl w:val="0"/>
          <w:numId w:val="5"/>
        </w:numPr>
        <w:spacing w:after="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评审委员会的确定</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评审委员会由比选人按相关规定选取，评审委员会人数为5人。</w:t>
      </w:r>
    </w:p>
    <w:p>
      <w:pPr>
        <w:numPr>
          <w:ilvl w:val="0"/>
          <w:numId w:val="5"/>
        </w:numPr>
        <w:spacing w:after="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评审程序</w:t>
      </w:r>
    </w:p>
    <w:p>
      <w:pPr>
        <w:spacing w:after="0" w:line="560" w:lineRule="exact"/>
        <w:ind w:firstLine="640" w:firstLineChars="200"/>
        <w:jc w:val="both"/>
        <w:rPr>
          <w:rFonts w:ascii="仿宋_GB2312" w:hAnsi="仿宋_GB2312" w:eastAsia="仿宋_GB2312" w:cs="仿宋_GB2312"/>
          <w:sz w:val="28"/>
          <w:szCs w:val="28"/>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评审程序</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资格审查→初步评审→谈判→详细评审评分→编写评审报告。</w:t>
      </w:r>
    </w:p>
    <w:p>
      <w:pPr>
        <w:spacing w:after="0" w:line="560" w:lineRule="exact"/>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资格审查</w:t>
      </w:r>
    </w:p>
    <w:p>
      <w:pPr>
        <w:spacing w:after="0" w:line="560" w:lineRule="exact"/>
        <w:ind w:firstLine="640" w:firstLineChars="200"/>
        <w:jc w:val="both"/>
        <w:rPr>
          <w:rFonts w:ascii="仿宋_GB2312" w:hAnsi="仿宋_GB2312" w:eastAsia="仿宋_GB2312" w:cs="仿宋_GB2312"/>
          <w:sz w:val="28"/>
          <w:szCs w:val="28"/>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评审委员会将对比选申请文件的下列内容进行审查和复核。</w:t>
      </w:r>
    </w:p>
    <w:p>
      <w:pPr>
        <w:pStyle w:val="9"/>
        <w:widowControl w:val="0"/>
        <w:tabs>
          <w:tab w:val="left" w:pos="600"/>
        </w:tabs>
        <w:adjustRightInd/>
        <w:snapToGrid/>
        <w:spacing w:after="0" w:line="600" w:lineRule="exact"/>
        <w:ind w:left="0" w:leftChars="0"/>
        <w:jc w:val="center"/>
        <w:rPr>
          <w:rFonts w:ascii="仿宋_GB2312" w:hAnsi="宋体" w:eastAsia="仿宋_GB2312" w:cs="宋体"/>
          <w:b/>
          <w:bCs/>
          <w:color w:val="000000"/>
          <w:kern w:val="2"/>
          <w:sz w:val="28"/>
          <w:szCs w:val="20"/>
        </w:rPr>
      </w:pPr>
      <w:r>
        <w:rPr>
          <w:rFonts w:hint="eastAsia" w:ascii="仿宋_GB2312" w:hAnsi="宋体" w:eastAsia="仿宋_GB2312" w:cs="宋体"/>
          <w:b/>
          <w:bCs/>
          <w:color w:val="000000"/>
          <w:kern w:val="2"/>
          <w:sz w:val="28"/>
          <w:szCs w:val="20"/>
        </w:rPr>
        <w:t>比选申请文件资格审查表</w:t>
      </w:r>
    </w:p>
    <w:tbl>
      <w:tblPr>
        <w:tblStyle w:val="22"/>
        <w:tblW w:w="7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3550"/>
        <w:gridCol w:w="3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vAlign w:val="center"/>
          </w:tcPr>
          <w:p>
            <w:pPr>
              <w:spacing w:after="0" w:line="400" w:lineRule="exact"/>
              <w:jc w:val="center"/>
              <w:rPr>
                <w:rFonts w:cs="宋体" w:asciiTheme="minorEastAsia" w:hAnsiTheme="minorEastAsia" w:eastAsiaTheme="minorEastAsia"/>
                <w:b/>
                <w:bCs/>
                <w:kern w:val="2"/>
                <w:sz w:val="24"/>
              </w:rPr>
            </w:pPr>
            <w:r>
              <w:rPr>
                <w:rFonts w:hint="eastAsia" w:cs="宋体" w:asciiTheme="minorEastAsia" w:hAnsiTheme="minorEastAsia" w:eastAsiaTheme="minorEastAsia"/>
                <w:b/>
                <w:bCs/>
                <w:kern w:val="2"/>
                <w:sz w:val="24"/>
              </w:rPr>
              <w:t>序号</w:t>
            </w:r>
          </w:p>
        </w:tc>
        <w:tc>
          <w:tcPr>
            <w:tcW w:w="3550" w:type="dxa"/>
            <w:vAlign w:val="center"/>
          </w:tcPr>
          <w:p>
            <w:pPr>
              <w:spacing w:after="0" w:line="400" w:lineRule="exact"/>
              <w:jc w:val="center"/>
              <w:rPr>
                <w:rFonts w:cs="宋体" w:asciiTheme="minorEastAsia" w:hAnsiTheme="minorEastAsia" w:eastAsiaTheme="minorEastAsia"/>
                <w:b/>
                <w:bCs/>
                <w:kern w:val="2"/>
                <w:sz w:val="24"/>
              </w:rPr>
            </w:pPr>
            <w:r>
              <w:rPr>
                <w:rFonts w:hint="eastAsia" w:cs="宋体" w:asciiTheme="minorEastAsia" w:hAnsiTheme="minorEastAsia" w:eastAsiaTheme="minorEastAsia"/>
                <w:b/>
                <w:bCs/>
                <w:kern w:val="2"/>
                <w:sz w:val="24"/>
              </w:rPr>
              <w:t>审查内容</w:t>
            </w:r>
          </w:p>
        </w:tc>
        <w:tc>
          <w:tcPr>
            <w:tcW w:w="3512" w:type="dxa"/>
            <w:vAlign w:val="center"/>
          </w:tcPr>
          <w:p>
            <w:pPr>
              <w:spacing w:after="0" w:line="400" w:lineRule="exact"/>
              <w:jc w:val="center"/>
              <w:rPr>
                <w:rFonts w:cs="宋体" w:asciiTheme="minorEastAsia" w:hAnsiTheme="minorEastAsia" w:eastAsiaTheme="minorEastAsia"/>
                <w:b/>
                <w:bCs/>
                <w:kern w:val="2"/>
                <w:sz w:val="24"/>
              </w:rPr>
            </w:pPr>
            <w:r>
              <w:rPr>
                <w:rFonts w:hint="eastAsia" w:cs="宋体" w:asciiTheme="minorEastAsia" w:hAnsiTheme="minorEastAsia" w:eastAsiaTheme="minorEastAsia"/>
                <w:b/>
                <w:bCs/>
                <w:kern w:val="2"/>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vAlign w:val="center"/>
          </w:tcPr>
          <w:p>
            <w:pPr>
              <w:spacing w:after="0" w:line="400" w:lineRule="exact"/>
              <w:jc w:val="center"/>
              <w:rPr>
                <w:rFonts w:cs="宋体" w:asciiTheme="minorEastAsia" w:hAnsiTheme="minorEastAsia" w:eastAsiaTheme="minorEastAsia"/>
                <w:kern w:val="2"/>
                <w:sz w:val="24"/>
              </w:rPr>
            </w:pPr>
            <w:r>
              <w:rPr>
                <w:rFonts w:cs="宋体" w:asciiTheme="minorEastAsia" w:hAnsiTheme="minorEastAsia" w:eastAsiaTheme="minorEastAsia"/>
                <w:kern w:val="2"/>
                <w:sz w:val="24"/>
              </w:rPr>
              <w:t>1</w:t>
            </w:r>
          </w:p>
        </w:tc>
        <w:tc>
          <w:tcPr>
            <w:tcW w:w="3550" w:type="dxa"/>
            <w:vAlign w:val="center"/>
          </w:tcPr>
          <w:p>
            <w:pPr>
              <w:spacing w:after="0" w:line="40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税务师事务所要求</w:t>
            </w:r>
          </w:p>
        </w:tc>
        <w:tc>
          <w:tcPr>
            <w:tcW w:w="3512" w:type="dxa"/>
            <w:vAlign w:val="center"/>
          </w:tcPr>
          <w:p>
            <w:pPr>
              <w:spacing w:after="0" w:line="40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vAlign w:val="center"/>
          </w:tcPr>
          <w:p>
            <w:pPr>
              <w:spacing w:after="0" w:line="400" w:lineRule="exact"/>
              <w:jc w:val="center"/>
              <w:rPr>
                <w:rFonts w:cs="宋体" w:asciiTheme="minorEastAsia" w:hAnsiTheme="minorEastAsia" w:eastAsiaTheme="minorEastAsia"/>
                <w:kern w:val="2"/>
                <w:sz w:val="24"/>
              </w:rPr>
            </w:pPr>
            <w:r>
              <w:rPr>
                <w:rFonts w:cs="宋体" w:asciiTheme="minorEastAsia" w:hAnsiTheme="minorEastAsia" w:eastAsiaTheme="minorEastAsia"/>
                <w:kern w:val="2"/>
                <w:sz w:val="24"/>
              </w:rPr>
              <w:t>2</w:t>
            </w:r>
          </w:p>
        </w:tc>
        <w:tc>
          <w:tcPr>
            <w:tcW w:w="3550" w:type="dxa"/>
            <w:vAlign w:val="center"/>
          </w:tcPr>
          <w:p>
            <w:pPr>
              <w:spacing w:after="0"/>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服务顾问团队要求</w:t>
            </w:r>
          </w:p>
        </w:tc>
        <w:tc>
          <w:tcPr>
            <w:tcW w:w="3512" w:type="dxa"/>
            <w:vAlign w:val="center"/>
          </w:tcPr>
          <w:p>
            <w:pPr>
              <w:spacing w:after="0" w:line="40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vAlign w:val="center"/>
          </w:tcPr>
          <w:p>
            <w:pPr>
              <w:spacing w:after="0" w:line="400" w:lineRule="exact"/>
              <w:jc w:val="center"/>
              <w:rPr>
                <w:rFonts w:cs="宋体" w:asciiTheme="minorEastAsia" w:hAnsiTheme="minorEastAsia" w:eastAsiaTheme="minorEastAsia"/>
                <w:kern w:val="2"/>
                <w:sz w:val="24"/>
              </w:rPr>
            </w:pPr>
            <w:r>
              <w:rPr>
                <w:rFonts w:cs="宋体" w:asciiTheme="minorEastAsia" w:hAnsiTheme="minorEastAsia" w:eastAsiaTheme="minorEastAsia"/>
                <w:kern w:val="2"/>
                <w:sz w:val="24"/>
              </w:rPr>
              <w:t>3</w:t>
            </w:r>
          </w:p>
        </w:tc>
        <w:tc>
          <w:tcPr>
            <w:tcW w:w="3550" w:type="dxa"/>
            <w:vAlign w:val="center"/>
          </w:tcPr>
          <w:p>
            <w:pPr>
              <w:spacing w:after="0"/>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结论</w:t>
            </w:r>
          </w:p>
        </w:tc>
        <w:tc>
          <w:tcPr>
            <w:tcW w:w="3512" w:type="dxa"/>
            <w:vAlign w:val="center"/>
          </w:tcPr>
          <w:p>
            <w:pPr>
              <w:spacing w:after="0" w:line="40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以上条件必须全部通过</w:t>
            </w:r>
          </w:p>
        </w:tc>
      </w:tr>
    </w:tbl>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资格审查结论为“合格”与“不合格”。</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资格审查实行强制性合格评审，凡有一项不合格则不能通过。资格审查未通过的不再进入下一步评审程序。</w:t>
      </w:r>
    </w:p>
    <w:p>
      <w:pPr>
        <w:spacing w:after="0" w:line="560" w:lineRule="exact"/>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初步评审</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初步评审主要为评审委员会对各比选申请文件是否在实质上响应了比选文件要求进行评审。</w:t>
      </w:r>
    </w:p>
    <w:p>
      <w:pPr>
        <w:spacing w:after="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若比选申请文件有下表中所列任何一种情况的，则视为未能在实质上响应比选文件，属重大偏差，将不进入下一步评审程序。</w:t>
      </w:r>
    </w:p>
    <w:p>
      <w:pPr>
        <w:pStyle w:val="9"/>
        <w:widowControl w:val="0"/>
        <w:tabs>
          <w:tab w:val="left" w:pos="600"/>
        </w:tabs>
        <w:adjustRightInd/>
        <w:snapToGrid/>
        <w:spacing w:after="0" w:line="600" w:lineRule="exact"/>
        <w:ind w:left="0" w:leftChars="0"/>
        <w:jc w:val="center"/>
        <w:rPr>
          <w:rFonts w:ascii="仿宋_GB2312" w:hAnsi="宋体" w:eastAsia="仿宋_GB2312" w:cs="宋体"/>
          <w:b/>
          <w:bCs/>
          <w:color w:val="000000"/>
          <w:kern w:val="2"/>
          <w:sz w:val="28"/>
          <w:szCs w:val="20"/>
        </w:rPr>
      </w:pPr>
      <w:r>
        <w:rPr>
          <w:rFonts w:hint="eastAsia" w:ascii="仿宋_GB2312" w:hAnsi="宋体" w:eastAsia="仿宋_GB2312" w:cs="宋体"/>
          <w:b/>
          <w:bCs/>
          <w:color w:val="000000"/>
          <w:kern w:val="2"/>
          <w:sz w:val="28"/>
          <w:szCs w:val="20"/>
        </w:rPr>
        <w:t>比选申请文件初步评审表</w:t>
      </w:r>
    </w:p>
    <w:tbl>
      <w:tblPr>
        <w:tblStyle w:val="22"/>
        <w:tblW w:w="8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5735"/>
        <w:gridCol w:w="2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752" w:type="dxa"/>
            <w:vAlign w:val="center"/>
          </w:tcPr>
          <w:p>
            <w:pPr>
              <w:spacing w:after="0" w:line="400" w:lineRule="exact"/>
              <w:jc w:val="center"/>
              <w:rPr>
                <w:rFonts w:cs="宋体" w:asciiTheme="minorEastAsia" w:hAnsiTheme="minorEastAsia" w:eastAsiaTheme="minorEastAsia"/>
                <w:b/>
                <w:bCs/>
                <w:kern w:val="2"/>
                <w:sz w:val="24"/>
              </w:rPr>
            </w:pPr>
            <w:r>
              <w:rPr>
                <w:rFonts w:hint="eastAsia" w:cs="宋体" w:asciiTheme="minorEastAsia" w:hAnsiTheme="minorEastAsia" w:eastAsiaTheme="minorEastAsia"/>
                <w:b/>
                <w:bCs/>
                <w:kern w:val="2"/>
                <w:sz w:val="24"/>
              </w:rPr>
              <w:t>序号</w:t>
            </w:r>
          </w:p>
        </w:tc>
        <w:tc>
          <w:tcPr>
            <w:tcW w:w="5735" w:type="dxa"/>
            <w:vAlign w:val="center"/>
          </w:tcPr>
          <w:p>
            <w:pPr>
              <w:spacing w:after="0" w:line="400" w:lineRule="exact"/>
              <w:jc w:val="center"/>
              <w:rPr>
                <w:rFonts w:cs="宋体" w:asciiTheme="minorEastAsia" w:hAnsiTheme="minorEastAsia" w:eastAsiaTheme="minorEastAsia"/>
                <w:b/>
                <w:bCs/>
                <w:kern w:val="2"/>
                <w:sz w:val="24"/>
              </w:rPr>
            </w:pPr>
            <w:r>
              <w:rPr>
                <w:rFonts w:hint="eastAsia" w:cs="宋体" w:asciiTheme="minorEastAsia" w:hAnsiTheme="minorEastAsia" w:eastAsiaTheme="minorEastAsia"/>
                <w:b/>
                <w:bCs/>
                <w:kern w:val="2"/>
                <w:sz w:val="24"/>
              </w:rPr>
              <w:t>重大偏差情况</w:t>
            </w:r>
          </w:p>
        </w:tc>
        <w:tc>
          <w:tcPr>
            <w:tcW w:w="2289" w:type="dxa"/>
            <w:vAlign w:val="center"/>
          </w:tcPr>
          <w:p>
            <w:pPr>
              <w:spacing w:after="0" w:line="400" w:lineRule="exact"/>
              <w:jc w:val="center"/>
              <w:rPr>
                <w:rFonts w:cs="宋体" w:asciiTheme="minorEastAsia" w:hAnsiTheme="minorEastAsia" w:eastAsiaTheme="minorEastAsia"/>
                <w:b/>
                <w:bCs/>
                <w:kern w:val="2"/>
                <w:sz w:val="24"/>
              </w:rPr>
            </w:pPr>
            <w:r>
              <w:rPr>
                <w:rFonts w:hint="eastAsia" w:cs="宋体" w:asciiTheme="minorEastAsia" w:hAnsiTheme="minorEastAsia" w:eastAsiaTheme="minorEastAsia"/>
                <w:b/>
                <w:bCs/>
                <w:kern w:val="2"/>
                <w:sz w:val="24"/>
              </w:rPr>
              <w:t>是否存在重大偏差（填写“是”或“否”）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52" w:type="dxa"/>
            <w:vAlign w:val="center"/>
          </w:tcPr>
          <w:p>
            <w:pPr>
              <w:spacing w:after="0" w:line="40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1</w:t>
            </w:r>
          </w:p>
        </w:tc>
        <w:tc>
          <w:tcPr>
            <w:tcW w:w="5735" w:type="dxa"/>
            <w:vAlign w:val="center"/>
          </w:tcPr>
          <w:p>
            <w:pPr>
              <w:spacing w:after="0" w:line="40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比选申请文件签字或盖章不符合比选文件要求的</w:t>
            </w:r>
          </w:p>
        </w:tc>
        <w:tc>
          <w:tcPr>
            <w:tcW w:w="2289" w:type="dxa"/>
            <w:vAlign w:val="center"/>
          </w:tcPr>
          <w:p>
            <w:pPr>
              <w:spacing w:after="0" w:line="400" w:lineRule="exact"/>
              <w:jc w:val="center"/>
              <w:rPr>
                <w:rFonts w:cs="宋体" w:asciiTheme="minorEastAsia" w:hAnsiTheme="minorEastAsia" w:eastAsiaTheme="minorEastAsia"/>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52" w:type="dxa"/>
            <w:vAlign w:val="center"/>
          </w:tcPr>
          <w:p>
            <w:pPr>
              <w:spacing w:after="0" w:line="40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2</w:t>
            </w:r>
          </w:p>
        </w:tc>
        <w:tc>
          <w:tcPr>
            <w:tcW w:w="5735" w:type="dxa"/>
            <w:vAlign w:val="center"/>
          </w:tcPr>
          <w:p>
            <w:pPr>
              <w:spacing w:after="0" w:line="40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明显不符合国家有关法规、文件和标准的要求的</w:t>
            </w:r>
          </w:p>
        </w:tc>
        <w:tc>
          <w:tcPr>
            <w:tcW w:w="2289" w:type="dxa"/>
            <w:vAlign w:val="center"/>
          </w:tcPr>
          <w:p>
            <w:pPr>
              <w:spacing w:after="0" w:line="400" w:lineRule="exact"/>
              <w:jc w:val="center"/>
              <w:rPr>
                <w:rFonts w:cs="宋体" w:asciiTheme="minorEastAsia" w:hAnsiTheme="minorEastAsia" w:eastAsiaTheme="minorEastAsia"/>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752" w:type="dxa"/>
            <w:vAlign w:val="center"/>
          </w:tcPr>
          <w:p>
            <w:pPr>
              <w:spacing w:after="0" w:line="40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3</w:t>
            </w:r>
          </w:p>
        </w:tc>
        <w:tc>
          <w:tcPr>
            <w:tcW w:w="5735" w:type="dxa"/>
            <w:vAlign w:val="center"/>
          </w:tcPr>
          <w:p>
            <w:pPr>
              <w:spacing w:after="0" w:line="40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比选申请文件格式、内容不全或关键字迹模糊、无法辨认的</w:t>
            </w:r>
          </w:p>
        </w:tc>
        <w:tc>
          <w:tcPr>
            <w:tcW w:w="2289" w:type="dxa"/>
            <w:vAlign w:val="center"/>
          </w:tcPr>
          <w:p>
            <w:pPr>
              <w:spacing w:after="0" w:line="400" w:lineRule="exact"/>
              <w:jc w:val="center"/>
              <w:rPr>
                <w:rFonts w:cs="宋体" w:asciiTheme="minorEastAsia" w:hAnsiTheme="minorEastAsia" w:eastAsiaTheme="minorEastAsia"/>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52" w:type="dxa"/>
            <w:vAlign w:val="center"/>
          </w:tcPr>
          <w:p>
            <w:pPr>
              <w:spacing w:after="0" w:line="40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4</w:t>
            </w:r>
          </w:p>
        </w:tc>
        <w:tc>
          <w:tcPr>
            <w:tcW w:w="5735" w:type="dxa"/>
            <w:vAlign w:val="center"/>
          </w:tcPr>
          <w:p>
            <w:pPr>
              <w:spacing w:after="0" w:line="40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比选申请人的报价不符合比选文件规定的</w:t>
            </w:r>
          </w:p>
        </w:tc>
        <w:tc>
          <w:tcPr>
            <w:tcW w:w="2289" w:type="dxa"/>
            <w:vAlign w:val="center"/>
          </w:tcPr>
          <w:p>
            <w:pPr>
              <w:spacing w:after="0" w:line="400" w:lineRule="exact"/>
              <w:jc w:val="center"/>
              <w:rPr>
                <w:rFonts w:cs="宋体" w:asciiTheme="minorEastAsia" w:hAnsiTheme="minorEastAsia" w:eastAsiaTheme="minorEastAsia"/>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52" w:type="dxa"/>
            <w:vAlign w:val="center"/>
          </w:tcPr>
          <w:p>
            <w:pPr>
              <w:spacing w:after="0" w:line="40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5</w:t>
            </w:r>
          </w:p>
        </w:tc>
        <w:tc>
          <w:tcPr>
            <w:tcW w:w="5735" w:type="dxa"/>
            <w:vAlign w:val="center"/>
          </w:tcPr>
          <w:p>
            <w:pPr>
              <w:spacing w:after="0" w:line="40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比选申请文件附有比选人不能接受的条件的</w:t>
            </w:r>
          </w:p>
        </w:tc>
        <w:tc>
          <w:tcPr>
            <w:tcW w:w="2289" w:type="dxa"/>
            <w:vAlign w:val="center"/>
          </w:tcPr>
          <w:p>
            <w:pPr>
              <w:spacing w:after="0" w:line="400" w:lineRule="exact"/>
              <w:jc w:val="center"/>
              <w:rPr>
                <w:rFonts w:cs="宋体" w:asciiTheme="minorEastAsia" w:hAnsiTheme="minorEastAsia" w:eastAsiaTheme="minorEastAsia"/>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487" w:type="dxa"/>
            <w:gridSpan w:val="2"/>
            <w:vAlign w:val="center"/>
          </w:tcPr>
          <w:p>
            <w:pPr>
              <w:spacing w:after="0" w:line="40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结论（应填写“通过”或“不通过”）</w:t>
            </w:r>
          </w:p>
        </w:tc>
        <w:tc>
          <w:tcPr>
            <w:tcW w:w="2289" w:type="dxa"/>
            <w:vAlign w:val="center"/>
          </w:tcPr>
          <w:p>
            <w:pPr>
              <w:spacing w:after="0" w:line="400" w:lineRule="exact"/>
              <w:jc w:val="center"/>
              <w:rPr>
                <w:rFonts w:cs="宋体" w:asciiTheme="minorEastAsia" w:hAnsiTheme="minorEastAsia" w:eastAsiaTheme="minorEastAsia"/>
                <w:kern w:val="2"/>
                <w:sz w:val="24"/>
              </w:rPr>
            </w:pPr>
          </w:p>
        </w:tc>
      </w:tr>
    </w:tbl>
    <w:p>
      <w:pPr>
        <w:spacing w:after="0" w:line="560" w:lineRule="exact"/>
        <w:ind w:firstLine="640" w:firstLineChars="200"/>
        <w:jc w:val="both"/>
        <w:rPr>
          <w:rFonts w:ascii="仿宋_GB2312" w:hAnsi="仿宋_GB2312" w:eastAsia="仿宋_GB2312" w:cs="仿宋_GB2312"/>
          <w:sz w:val="28"/>
          <w:szCs w:val="28"/>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上述重大偏差之外的偏差为细微偏差。评审专家应当书面要求存在细微偏差的比选申请人在详细评审前予以补正。有关澄清说明与答复，比选申请人应以书面形式进行，但对实质性的内容不得更改。澄清问题作为比选申请文件的组成部分。</w:t>
      </w:r>
    </w:p>
    <w:p>
      <w:pPr>
        <w:spacing w:after="0" w:line="560" w:lineRule="exact"/>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rPr>
        <w:t>谈判</w:t>
      </w:r>
    </w:p>
    <w:p>
      <w:pPr>
        <w:spacing w:after="0"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评审委员会所有成员集中与单一比选申请人分别进行一轮或多轮谈判，并给予所有参加谈判的比选申请人平等的谈判机会。谈判顺序以随机方式确定。</w:t>
      </w:r>
    </w:p>
    <w:p>
      <w:pPr>
        <w:spacing w:after="0"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谈判过程中，谈判的任何一方不得透露与谈判有关的其他比选申请人的相关资料、价格和其他信息。</w:t>
      </w:r>
    </w:p>
    <w:p>
      <w:pPr>
        <w:spacing w:after="0"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谈判过程中，评审委员会发现或者知晓比选申请人存在违法、违纪行为的，评审委员会应当将有权否决该比选申请人，不允许其提交最终报价。</w:t>
      </w:r>
    </w:p>
    <w:p>
      <w:pPr>
        <w:spacing w:after="0" w:line="560" w:lineRule="exact"/>
        <w:ind w:firstLine="640" w:firstLineChars="2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(五)最终报价</w:t>
      </w:r>
    </w:p>
    <w:p>
      <w:pPr>
        <w:spacing w:after="0"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谈判结束后，所有实质性响应的比选申请人在规定时间内提交最终报价表，未提交最终报价表的，其最终报价以比选申请文件报价函为准。且其最终报价不得高于对该项目最高限价，否则，评审委员会应当对其比选申请文件按无效处理。</w:t>
      </w:r>
    </w:p>
    <w:p>
      <w:pPr>
        <w:spacing w:after="0"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比选申请人应当保障最终报价表（表格格式详见第三章比选申请文件格式）加盖公章，在谈判结束后由比选申请人的</w:t>
      </w:r>
      <w:r>
        <w:rPr>
          <w:rFonts w:hint="eastAsia" w:ascii="仿宋_GB2312" w:hAnsi="仿宋_GB2312" w:eastAsia="仿宋_GB2312" w:cs="仿宋_GB2312"/>
          <w:sz w:val="32"/>
          <w:szCs w:val="32"/>
          <w:lang w:val="en-US" w:eastAsia="zh-CN"/>
        </w:rPr>
        <w:t>税务师事务所</w:t>
      </w:r>
      <w:r>
        <w:rPr>
          <w:rFonts w:hint="eastAsia" w:ascii="仿宋_GB2312" w:hAnsi="仿宋_GB2312" w:eastAsia="仿宋_GB2312" w:cs="仿宋_GB2312"/>
          <w:sz w:val="32"/>
          <w:szCs w:val="32"/>
          <w:lang w:eastAsia="zh-CN"/>
        </w:rPr>
        <w:t>负责人或委托代理人手工填写最终报价。最终报价表是比选申请人比选申请文件的有效组成部分。</w:t>
      </w:r>
    </w:p>
    <w:p>
      <w:pPr>
        <w:spacing w:after="0"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最终报价中的算术错误将按以下方法修正：大写金额和小写金额不一致的，以大写金额为准；如果小写、大写金额出现明显文字错误，应当按照澄清、说明。</w:t>
      </w:r>
    </w:p>
    <w:p>
      <w:pPr>
        <w:spacing w:after="0" w:line="560" w:lineRule="exact"/>
        <w:ind w:firstLine="640" w:firstLineChars="2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(六)详细评审</w:t>
      </w:r>
    </w:p>
    <w:p>
      <w:pPr>
        <w:spacing w:after="0"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评审委员会集中审查比选申请文件，对符合比选资格要求的律所按照《评分细则》打分。</w:t>
      </w:r>
    </w:p>
    <w:p>
      <w:pPr>
        <w:spacing w:after="0"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后附：评分细则</w:t>
      </w:r>
      <w:r>
        <w:rPr>
          <w:rFonts w:hint="eastAsia" w:ascii="仿宋_GB2312" w:hAnsi="仿宋_GB2312" w:eastAsia="仿宋_GB2312" w:cs="仿宋_GB2312"/>
          <w:sz w:val="32"/>
          <w:szCs w:val="32"/>
          <w:lang w:eastAsia="zh-CN"/>
        </w:rPr>
        <w:br w:type="page"/>
      </w:r>
    </w:p>
    <w:tbl>
      <w:tblPr>
        <w:tblStyle w:val="22"/>
        <w:tblpPr w:leftFromText="180" w:rightFromText="180" w:vertAnchor="text" w:horzAnchor="page" w:tblpXSpec="center" w:tblpY="633"/>
        <w:tblOverlap w:val="never"/>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792"/>
        <w:gridCol w:w="1199"/>
        <w:gridCol w:w="5980"/>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17" w:type="dxa"/>
            <w:vAlign w:val="center"/>
          </w:tcPr>
          <w:p>
            <w:pPr>
              <w:spacing w:line="280" w:lineRule="exact"/>
              <w:jc w:val="center"/>
              <w:rPr>
                <w:rFonts w:ascii="仿宋" w:hAnsi="仿宋" w:eastAsia="仿宋" w:cs="宋体"/>
                <w:b/>
                <w:kern w:val="2"/>
                <w:sz w:val="24"/>
              </w:rPr>
            </w:pPr>
            <w:r>
              <w:rPr>
                <w:rFonts w:hint="eastAsia" w:ascii="仿宋" w:hAnsi="仿宋" w:eastAsia="仿宋" w:cs="宋体"/>
                <w:b/>
                <w:kern w:val="2"/>
                <w:sz w:val="24"/>
              </w:rPr>
              <w:t>序号</w:t>
            </w:r>
          </w:p>
        </w:tc>
        <w:tc>
          <w:tcPr>
            <w:tcW w:w="792" w:type="dxa"/>
            <w:vAlign w:val="center"/>
          </w:tcPr>
          <w:p>
            <w:pPr>
              <w:spacing w:line="280" w:lineRule="exact"/>
              <w:jc w:val="center"/>
              <w:rPr>
                <w:rFonts w:ascii="仿宋" w:hAnsi="仿宋" w:eastAsia="仿宋" w:cs="宋体"/>
                <w:b/>
                <w:kern w:val="2"/>
                <w:sz w:val="24"/>
              </w:rPr>
            </w:pPr>
            <w:r>
              <w:rPr>
                <w:rFonts w:hint="eastAsia" w:ascii="仿宋" w:hAnsi="仿宋" w:eastAsia="仿宋" w:cs="宋体"/>
                <w:b/>
                <w:kern w:val="2"/>
                <w:sz w:val="24"/>
              </w:rPr>
              <w:t>评分因素权重</w:t>
            </w:r>
          </w:p>
        </w:tc>
        <w:tc>
          <w:tcPr>
            <w:tcW w:w="1199" w:type="dxa"/>
            <w:vAlign w:val="center"/>
          </w:tcPr>
          <w:p>
            <w:pPr>
              <w:spacing w:line="280" w:lineRule="exact"/>
              <w:jc w:val="center"/>
              <w:rPr>
                <w:rFonts w:ascii="仿宋" w:hAnsi="仿宋" w:eastAsia="仿宋" w:cs="宋体"/>
                <w:b/>
                <w:kern w:val="2"/>
                <w:sz w:val="24"/>
              </w:rPr>
            </w:pPr>
            <w:r>
              <w:rPr>
                <w:rFonts w:hint="eastAsia" w:ascii="仿宋" w:hAnsi="仿宋" w:eastAsia="仿宋" w:cs="宋体"/>
                <w:b/>
                <w:kern w:val="2"/>
                <w:sz w:val="24"/>
              </w:rPr>
              <w:t>内容</w:t>
            </w:r>
          </w:p>
        </w:tc>
        <w:tc>
          <w:tcPr>
            <w:tcW w:w="5980" w:type="dxa"/>
            <w:vAlign w:val="center"/>
          </w:tcPr>
          <w:p>
            <w:pPr>
              <w:spacing w:line="280" w:lineRule="exact"/>
              <w:jc w:val="center"/>
              <w:rPr>
                <w:rFonts w:ascii="仿宋" w:hAnsi="仿宋" w:eastAsia="仿宋" w:cs="宋体"/>
                <w:b/>
                <w:kern w:val="2"/>
                <w:sz w:val="24"/>
              </w:rPr>
            </w:pPr>
            <w:r>
              <w:rPr>
                <w:rFonts w:hint="eastAsia" w:ascii="仿宋" w:hAnsi="仿宋" w:eastAsia="仿宋" w:cs="宋体"/>
                <w:b/>
                <w:kern w:val="2"/>
                <w:sz w:val="24"/>
              </w:rPr>
              <w:t>评分标准</w:t>
            </w:r>
          </w:p>
        </w:tc>
        <w:tc>
          <w:tcPr>
            <w:tcW w:w="1199" w:type="dxa"/>
            <w:vAlign w:val="center"/>
          </w:tcPr>
          <w:p>
            <w:pPr>
              <w:spacing w:line="280" w:lineRule="exact"/>
              <w:jc w:val="center"/>
              <w:rPr>
                <w:rFonts w:ascii="仿宋" w:hAnsi="仿宋" w:eastAsia="仿宋" w:cs="宋体"/>
                <w:b/>
                <w:kern w:val="2"/>
                <w:sz w:val="24"/>
              </w:rPr>
            </w:pPr>
            <w:r>
              <w:rPr>
                <w:rFonts w:hint="eastAsia" w:ascii="仿宋" w:hAnsi="仿宋" w:eastAsia="仿宋" w:cs="宋体"/>
                <w:b/>
                <w:kern w:val="2"/>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pPr>
              <w:spacing w:line="280" w:lineRule="exact"/>
              <w:jc w:val="center"/>
              <w:rPr>
                <w:rFonts w:ascii="仿宋" w:hAnsi="仿宋" w:eastAsia="仿宋" w:cs="宋体"/>
                <w:kern w:val="2"/>
                <w:sz w:val="24"/>
              </w:rPr>
            </w:pPr>
            <w:r>
              <w:rPr>
                <w:rFonts w:hint="eastAsia" w:ascii="仿宋" w:hAnsi="仿宋" w:eastAsia="仿宋" w:cs="宋体"/>
                <w:kern w:val="2"/>
                <w:sz w:val="24"/>
              </w:rPr>
              <w:t>1</w:t>
            </w:r>
          </w:p>
        </w:tc>
        <w:tc>
          <w:tcPr>
            <w:tcW w:w="792" w:type="dxa"/>
            <w:vAlign w:val="center"/>
          </w:tcPr>
          <w:p>
            <w:pPr>
              <w:spacing w:line="280" w:lineRule="exact"/>
              <w:jc w:val="center"/>
              <w:rPr>
                <w:rFonts w:ascii="仿宋" w:hAnsi="仿宋" w:eastAsia="仿宋" w:cs="宋体"/>
                <w:kern w:val="2"/>
                <w:sz w:val="24"/>
              </w:rPr>
            </w:pPr>
            <w:r>
              <w:rPr>
                <w:rFonts w:hint="eastAsia" w:ascii="仿宋" w:hAnsi="仿宋" w:eastAsia="仿宋" w:cs="宋体"/>
                <w:kern w:val="2"/>
                <w:sz w:val="24"/>
              </w:rPr>
              <w:t>报价20%</w:t>
            </w:r>
          </w:p>
        </w:tc>
        <w:tc>
          <w:tcPr>
            <w:tcW w:w="1199" w:type="dxa"/>
            <w:vAlign w:val="center"/>
          </w:tcPr>
          <w:p>
            <w:pPr>
              <w:spacing w:line="280" w:lineRule="exact"/>
              <w:jc w:val="center"/>
              <w:rPr>
                <w:rFonts w:ascii="仿宋" w:hAnsi="仿宋" w:eastAsia="仿宋" w:cs="宋体"/>
                <w:kern w:val="2"/>
                <w:sz w:val="24"/>
              </w:rPr>
            </w:pPr>
            <w:r>
              <w:rPr>
                <w:rFonts w:hint="eastAsia" w:ascii="仿宋" w:hAnsi="仿宋" w:eastAsia="仿宋" w:cs="宋体"/>
                <w:kern w:val="2"/>
                <w:sz w:val="24"/>
              </w:rPr>
              <w:t>报价</w:t>
            </w:r>
          </w:p>
        </w:tc>
        <w:tc>
          <w:tcPr>
            <w:tcW w:w="5980" w:type="dxa"/>
            <w:vAlign w:val="center"/>
          </w:tcPr>
          <w:p>
            <w:pPr>
              <w:spacing w:after="0" w:line="400" w:lineRule="exact"/>
              <w:ind w:firstLine="480" w:firstLineChars="200"/>
              <w:rPr>
                <w:rFonts w:ascii="仿宋" w:hAnsi="仿宋" w:eastAsia="仿宋" w:cs="宋体"/>
                <w:kern w:val="2"/>
                <w:sz w:val="24"/>
              </w:rPr>
            </w:pPr>
            <w:r>
              <w:rPr>
                <w:rFonts w:hint="eastAsia" w:ascii="仿宋" w:hAnsi="仿宋" w:eastAsia="仿宋" w:cs="宋体"/>
                <w:kern w:val="2"/>
                <w:sz w:val="24"/>
              </w:rPr>
              <w:t>所有有效比选申请人的有效比选报价的算数平均值为评审基准价。</w:t>
            </w:r>
          </w:p>
          <w:p>
            <w:pPr>
              <w:spacing w:after="0" w:line="400" w:lineRule="exact"/>
              <w:ind w:firstLine="480" w:firstLineChars="200"/>
              <w:rPr>
                <w:rFonts w:ascii="仿宋" w:hAnsi="仿宋" w:eastAsia="仿宋" w:cs="宋体"/>
                <w:kern w:val="2"/>
                <w:sz w:val="24"/>
              </w:rPr>
            </w:pPr>
            <w:r>
              <w:rPr>
                <w:rFonts w:hint="eastAsia" w:ascii="仿宋" w:hAnsi="仿宋" w:eastAsia="仿宋" w:cs="宋体"/>
                <w:kern w:val="2"/>
                <w:sz w:val="24"/>
              </w:rPr>
              <w:t>比选申请人的报价为基准价的，得20分。</w:t>
            </w:r>
          </w:p>
          <w:p>
            <w:pPr>
              <w:spacing w:after="0" w:line="400" w:lineRule="exact"/>
              <w:ind w:firstLine="480" w:firstLineChars="200"/>
              <w:rPr>
                <w:rFonts w:ascii="仿宋" w:hAnsi="仿宋" w:eastAsia="仿宋" w:cs="宋体"/>
                <w:kern w:val="2"/>
                <w:sz w:val="24"/>
              </w:rPr>
            </w:pPr>
            <w:r>
              <w:rPr>
                <w:rFonts w:hint="eastAsia" w:ascii="仿宋" w:hAnsi="仿宋" w:eastAsia="仿宋" w:cs="宋体"/>
                <w:kern w:val="2"/>
                <w:sz w:val="24"/>
              </w:rPr>
              <w:t>比选申请人的报价高于/低于基准价的，每高1%扣0.2分，每低1%扣0.1分，扣完为止。中间值用插入法进行计算，小数点后保留两位。</w:t>
            </w:r>
          </w:p>
        </w:tc>
        <w:tc>
          <w:tcPr>
            <w:tcW w:w="1199" w:type="dxa"/>
            <w:vAlign w:val="center"/>
          </w:tcPr>
          <w:p>
            <w:pPr>
              <w:spacing w:line="280" w:lineRule="exact"/>
              <w:jc w:val="center"/>
              <w:rPr>
                <w:rFonts w:ascii="仿宋" w:hAnsi="仿宋" w:eastAsia="仿宋" w:cs="宋体"/>
                <w:kern w:val="2"/>
                <w:sz w:val="24"/>
              </w:rPr>
            </w:pPr>
            <w:r>
              <w:rPr>
                <w:rFonts w:hint="eastAsia" w:ascii="仿宋" w:hAnsi="仿宋" w:eastAsia="仿宋" w:cs="宋体"/>
                <w:kern w:val="2"/>
                <w:sz w:val="24"/>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617" w:type="dxa"/>
            <w:vMerge w:val="restart"/>
            <w:vAlign w:val="center"/>
          </w:tcPr>
          <w:p>
            <w:pPr>
              <w:spacing w:line="280" w:lineRule="exact"/>
              <w:jc w:val="center"/>
              <w:rPr>
                <w:rFonts w:ascii="仿宋" w:hAnsi="仿宋" w:eastAsia="仿宋" w:cs="宋体"/>
                <w:kern w:val="2"/>
                <w:sz w:val="24"/>
              </w:rPr>
            </w:pPr>
          </w:p>
        </w:tc>
        <w:tc>
          <w:tcPr>
            <w:tcW w:w="792" w:type="dxa"/>
            <w:vMerge w:val="restart"/>
            <w:vAlign w:val="center"/>
          </w:tcPr>
          <w:p>
            <w:pPr>
              <w:spacing w:line="280" w:lineRule="exact"/>
              <w:jc w:val="center"/>
              <w:rPr>
                <w:rFonts w:ascii="仿宋" w:hAnsi="仿宋" w:eastAsia="仿宋" w:cs="宋体"/>
                <w:kern w:val="2"/>
                <w:sz w:val="24"/>
              </w:rPr>
            </w:pPr>
            <w:r>
              <w:rPr>
                <w:rFonts w:hint="eastAsia" w:ascii="仿宋" w:hAnsi="仿宋" w:eastAsia="仿宋" w:cs="宋体"/>
                <w:kern w:val="2"/>
                <w:sz w:val="24"/>
              </w:rPr>
              <w:t>履约能力</w:t>
            </w:r>
            <w:r>
              <w:rPr>
                <w:rFonts w:ascii="仿宋" w:hAnsi="仿宋" w:eastAsia="仿宋" w:cs="宋体"/>
                <w:kern w:val="2"/>
                <w:sz w:val="24"/>
              </w:rPr>
              <w:t>4</w:t>
            </w:r>
            <w:r>
              <w:rPr>
                <w:rFonts w:hint="eastAsia" w:ascii="仿宋" w:hAnsi="仿宋" w:eastAsia="仿宋" w:cs="宋体"/>
                <w:kern w:val="2"/>
                <w:sz w:val="24"/>
              </w:rPr>
              <w:t>0%</w:t>
            </w:r>
          </w:p>
        </w:tc>
        <w:tc>
          <w:tcPr>
            <w:tcW w:w="1199" w:type="dxa"/>
            <w:vAlign w:val="center"/>
          </w:tcPr>
          <w:p>
            <w:pPr>
              <w:spacing w:line="280" w:lineRule="exact"/>
              <w:jc w:val="center"/>
              <w:rPr>
                <w:rFonts w:ascii="仿宋" w:hAnsi="仿宋" w:eastAsia="仿宋" w:cs="宋体"/>
                <w:kern w:val="2"/>
                <w:sz w:val="24"/>
              </w:rPr>
            </w:pPr>
            <w:r>
              <w:rPr>
                <w:rFonts w:hint="eastAsia" w:ascii="仿宋" w:hAnsi="仿宋" w:eastAsia="仿宋" w:cs="宋体"/>
                <w:kern w:val="2"/>
                <w:sz w:val="24"/>
              </w:rPr>
              <w:t>团队税务师执业经验</w:t>
            </w:r>
          </w:p>
        </w:tc>
        <w:tc>
          <w:tcPr>
            <w:tcW w:w="5980" w:type="dxa"/>
            <w:vAlign w:val="center"/>
          </w:tcPr>
          <w:p>
            <w:pPr>
              <w:spacing w:after="0" w:line="400" w:lineRule="exact"/>
              <w:ind w:firstLine="480" w:firstLineChars="200"/>
              <w:rPr>
                <w:rFonts w:ascii="仿宋" w:hAnsi="仿宋" w:eastAsia="仿宋" w:cs="宋体"/>
                <w:kern w:val="2"/>
                <w:sz w:val="24"/>
              </w:rPr>
            </w:pPr>
            <w:r>
              <w:rPr>
                <w:rFonts w:hint="eastAsia" w:ascii="仿宋" w:hAnsi="仿宋" w:eastAsia="仿宋" w:cs="宋体"/>
                <w:kern w:val="2"/>
                <w:sz w:val="24"/>
              </w:rPr>
              <w:t>1、项目负责人：①具有有效的高级会计师证得6分；②具有5（含5年）-8年（不含8年）税务工作经验的得2分，具有8年及以上税务工作经验的得8分。（税务工作经验年限以注册税务师资格证书上的签发日期起算），本项最多得14分；</w:t>
            </w:r>
          </w:p>
          <w:p>
            <w:pPr>
              <w:spacing w:after="0" w:line="400" w:lineRule="exact"/>
              <w:ind w:firstLine="480" w:firstLineChars="200"/>
              <w:rPr>
                <w:rFonts w:ascii="仿宋" w:hAnsi="仿宋" w:eastAsia="仿宋" w:cs="宋体"/>
                <w:kern w:val="2"/>
                <w:sz w:val="24"/>
              </w:rPr>
            </w:pPr>
            <w:r>
              <w:rPr>
                <w:rFonts w:hint="eastAsia" w:ascii="仿宋" w:hAnsi="仿宋" w:eastAsia="仿宋" w:cs="宋体"/>
                <w:kern w:val="2"/>
                <w:sz w:val="24"/>
              </w:rPr>
              <w:t>2、项目其他人员：拟派本项目服务团队人员（不含项目负责人）在2（含2人)-3人（不含3人）得3分，在3人及以上的得6分，本项最多得6分。</w:t>
            </w:r>
          </w:p>
        </w:tc>
        <w:tc>
          <w:tcPr>
            <w:tcW w:w="1199" w:type="dxa"/>
            <w:vAlign w:val="center"/>
          </w:tcPr>
          <w:p>
            <w:pPr>
              <w:spacing w:line="280" w:lineRule="exact"/>
              <w:jc w:val="center"/>
              <w:rPr>
                <w:rFonts w:ascii="仿宋" w:hAnsi="仿宋" w:eastAsia="仿宋" w:cs="宋体"/>
                <w:kern w:val="2"/>
                <w:sz w:val="24"/>
              </w:rPr>
            </w:pPr>
            <w:r>
              <w:rPr>
                <w:rFonts w:hint="eastAsia" w:ascii="仿宋" w:hAnsi="仿宋" w:eastAsia="仿宋" w:cs="宋体"/>
                <w:kern w:val="2"/>
                <w:sz w:val="24"/>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617" w:type="dxa"/>
            <w:vMerge w:val="continue"/>
            <w:vAlign w:val="center"/>
          </w:tcPr>
          <w:p>
            <w:pPr>
              <w:spacing w:line="280" w:lineRule="exact"/>
              <w:jc w:val="center"/>
              <w:rPr>
                <w:rFonts w:ascii="仿宋" w:hAnsi="仿宋" w:eastAsia="仿宋" w:cs="宋体"/>
                <w:kern w:val="2"/>
                <w:sz w:val="24"/>
              </w:rPr>
            </w:pPr>
          </w:p>
        </w:tc>
        <w:tc>
          <w:tcPr>
            <w:tcW w:w="792" w:type="dxa"/>
            <w:vMerge w:val="continue"/>
            <w:vAlign w:val="center"/>
          </w:tcPr>
          <w:p>
            <w:pPr>
              <w:spacing w:line="280" w:lineRule="exact"/>
              <w:jc w:val="center"/>
              <w:rPr>
                <w:rFonts w:ascii="仿宋" w:hAnsi="仿宋" w:eastAsia="仿宋" w:cs="宋体"/>
                <w:kern w:val="2"/>
                <w:sz w:val="24"/>
              </w:rPr>
            </w:pPr>
          </w:p>
        </w:tc>
        <w:tc>
          <w:tcPr>
            <w:tcW w:w="1199" w:type="dxa"/>
            <w:vAlign w:val="center"/>
          </w:tcPr>
          <w:p>
            <w:pPr>
              <w:spacing w:line="280" w:lineRule="exact"/>
              <w:rPr>
                <w:rFonts w:ascii="仿宋" w:hAnsi="仿宋" w:eastAsia="仿宋" w:cs="宋体"/>
                <w:kern w:val="2"/>
                <w:sz w:val="24"/>
              </w:rPr>
            </w:pPr>
            <w:r>
              <w:rPr>
                <w:rFonts w:hint="eastAsia" w:ascii="仿宋" w:hAnsi="仿宋" w:eastAsia="仿宋" w:cs="宋体"/>
                <w:kern w:val="2"/>
                <w:sz w:val="24"/>
              </w:rPr>
              <w:t>团队常年税务顾问业绩</w:t>
            </w:r>
          </w:p>
        </w:tc>
        <w:tc>
          <w:tcPr>
            <w:tcW w:w="5980" w:type="dxa"/>
            <w:vAlign w:val="center"/>
          </w:tcPr>
          <w:p>
            <w:pPr>
              <w:spacing w:after="0" w:line="400" w:lineRule="exact"/>
              <w:ind w:firstLine="480" w:firstLineChars="200"/>
              <w:rPr>
                <w:rFonts w:ascii="仿宋" w:hAnsi="仿宋" w:eastAsia="仿宋" w:cs="宋体"/>
                <w:kern w:val="2"/>
                <w:sz w:val="24"/>
              </w:rPr>
            </w:pPr>
            <w:r>
              <w:rPr>
                <w:rFonts w:hint="eastAsia" w:ascii="仿宋" w:hAnsi="仿宋" w:eastAsia="仿宋" w:cs="宋体"/>
                <w:kern w:val="2"/>
                <w:sz w:val="24"/>
              </w:rPr>
              <w:t>满足资格要求得8分，在此基础上，2018年1月1日至今每增加1个市级及以上国有企业或上市公司的税务咨询项目加6分，本项最多得20分（业绩不重复得分）。</w:t>
            </w:r>
          </w:p>
          <w:p>
            <w:pPr>
              <w:spacing w:after="0" w:line="400" w:lineRule="exact"/>
              <w:ind w:firstLine="480" w:firstLineChars="200"/>
              <w:rPr>
                <w:rFonts w:ascii="仿宋" w:hAnsi="仿宋" w:eastAsia="仿宋" w:cs="宋体"/>
                <w:kern w:val="2"/>
                <w:sz w:val="24"/>
              </w:rPr>
            </w:pPr>
            <w:r>
              <w:rPr>
                <w:rFonts w:hint="eastAsia" w:ascii="仿宋" w:hAnsi="仿宋" w:eastAsia="仿宋" w:cs="宋体"/>
                <w:kern w:val="2"/>
                <w:sz w:val="24"/>
              </w:rPr>
              <w:t>注：上述同一业绩不重复得分，同一服务对象不同年度业绩可视为不同业绩单独得分。提供合同复印件</w:t>
            </w:r>
          </w:p>
        </w:tc>
        <w:tc>
          <w:tcPr>
            <w:tcW w:w="1199" w:type="dxa"/>
            <w:vAlign w:val="center"/>
          </w:tcPr>
          <w:p>
            <w:pPr>
              <w:spacing w:line="280" w:lineRule="exact"/>
              <w:jc w:val="center"/>
              <w:rPr>
                <w:rFonts w:ascii="仿宋" w:hAnsi="仿宋" w:eastAsia="仿宋" w:cs="宋体"/>
                <w:kern w:val="2"/>
                <w:sz w:val="24"/>
              </w:rPr>
            </w:pPr>
            <w:r>
              <w:rPr>
                <w:rFonts w:hint="eastAsia" w:ascii="仿宋" w:hAnsi="仿宋" w:eastAsia="仿宋" w:cs="宋体"/>
                <w:kern w:val="2"/>
                <w:sz w:val="24"/>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617" w:type="dxa"/>
            <w:vMerge w:val="restart"/>
            <w:vAlign w:val="center"/>
          </w:tcPr>
          <w:p>
            <w:pPr>
              <w:spacing w:line="280" w:lineRule="exact"/>
              <w:jc w:val="center"/>
              <w:rPr>
                <w:rFonts w:ascii="仿宋" w:hAnsi="仿宋" w:eastAsia="仿宋" w:cs="宋体"/>
                <w:kern w:val="2"/>
                <w:sz w:val="24"/>
              </w:rPr>
            </w:pPr>
            <w:r>
              <w:rPr>
                <w:rFonts w:hint="eastAsia" w:ascii="仿宋" w:hAnsi="仿宋" w:eastAsia="仿宋" w:cs="宋体"/>
                <w:kern w:val="2"/>
                <w:sz w:val="24"/>
              </w:rPr>
              <w:t>3</w:t>
            </w:r>
          </w:p>
        </w:tc>
        <w:tc>
          <w:tcPr>
            <w:tcW w:w="792" w:type="dxa"/>
            <w:vMerge w:val="restart"/>
            <w:vAlign w:val="center"/>
          </w:tcPr>
          <w:p>
            <w:pPr>
              <w:spacing w:after="0" w:line="360" w:lineRule="exact"/>
              <w:jc w:val="center"/>
              <w:rPr>
                <w:rFonts w:ascii="仿宋" w:hAnsi="仿宋" w:eastAsia="仿宋" w:cs="宋体"/>
                <w:kern w:val="2"/>
                <w:sz w:val="24"/>
              </w:rPr>
            </w:pPr>
            <w:r>
              <w:rPr>
                <w:rFonts w:hint="eastAsia" w:ascii="仿宋" w:hAnsi="仿宋" w:eastAsia="仿宋" w:cs="宋体"/>
                <w:kern w:val="2"/>
                <w:sz w:val="24"/>
              </w:rPr>
              <w:t>服务</w:t>
            </w:r>
          </w:p>
          <w:p>
            <w:pPr>
              <w:spacing w:after="0" w:line="360" w:lineRule="exact"/>
              <w:jc w:val="center"/>
              <w:rPr>
                <w:rFonts w:ascii="仿宋" w:hAnsi="仿宋" w:eastAsia="仿宋" w:cs="宋体"/>
                <w:kern w:val="2"/>
                <w:sz w:val="24"/>
              </w:rPr>
            </w:pPr>
            <w:r>
              <w:rPr>
                <w:rFonts w:hint="eastAsia" w:ascii="仿宋" w:hAnsi="仿宋" w:eastAsia="仿宋" w:cs="宋体"/>
                <w:kern w:val="2"/>
                <w:sz w:val="24"/>
              </w:rPr>
              <w:t>方案</w:t>
            </w:r>
          </w:p>
          <w:p>
            <w:pPr>
              <w:spacing w:after="0" w:line="360" w:lineRule="exact"/>
              <w:jc w:val="center"/>
              <w:rPr>
                <w:rFonts w:ascii="仿宋" w:hAnsi="仿宋" w:eastAsia="仿宋" w:cs="宋体"/>
                <w:kern w:val="2"/>
                <w:sz w:val="24"/>
              </w:rPr>
            </w:pPr>
            <w:r>
              <w:rPr>
                <w:rFonts w:ascii="仿宋" w:hAnsi="仿宋" w:eastAsia="仿宋" w:cs="宋体"/>
                <w:kern w:val="2"/>
                <w:sz w:val="24"/>
              </w:rPr>
              <w:t>4</w:t>
            </w:r>
            <w:r>
              <w:rPr>
                <w:rFonts w:hint="eastAsia" w:ascii="仿宋" w:hAnsi="仿宋" w:eastAsia="仿宋" w:cs="宋体"/>
                <w:kern w:val="2"/>
                <w:sz w:val="24"/>
              </w:rPr>
              <w:t>0%</w:t>
            </w:r>
          </w:p>
        </w:tc>
        <w:tc>
          <w:tcPr>
            <w:tcW w:w="1199" w:type="dxa"/>
            <w:vAlign w:val="center"/>
          </w:tcPr>
          <w:p>
            <w:pPr>
              <w:spacing w:line="280" w:lineRule="exact"/>
              <w:jc w:val="center"/>
              <w:rPr>
                <w:rFonts w:ascii="仿宋" w:hAnsi="仿宋" w:eastAsia="仿宋" w:cs="宋体"/>
                <w:kern w:val="2"/>
                <w:sz w:val="24"/>
              </w:rPr>
            </w:pPr>
            <w:r>
              <w:rPr>
                <w:rFonts w:hint="eastAsia" w:ascii="仿宋" w:hAnsi="仿宋" w:eastAsia="仿宋" w:cs="宋体"/>
                <w:kern w:val="2"/>
                <w:sz w:val="24"/>
              </w:rPr>
              <w:t>税务顾问服务方案</w:t>
            </w:r>
          </w:p>
        </w:tc>
        <w:tc>
          <w:tcPr>
            <w:tcW w:w="5980" w:type="dxa"/>
            <w:vAlign w:val="center"/>
          </w:tcPr>
          <w:p>
            <w:pPr>
              <w:spacing w:after="0" w:line="400" w:lineRule="exact"/>
              <w:ind w:firstLine="480" w:firstLineChars="200"/>
              <w:rPr>
                <w:rFonts w:ascii="仿宋" w:hAnsi="仿宋" w:eastAsia="仿宋" w:cs="宋体"/>
                <w:kern w:val="2"/>
                <w:sz w:val="24"/>
              </w:rPr>
            </w:pPr>
            <w:r>
              <w:rPr>
                <w:rFonts w:hint="eastAsia" w:ascii="仿宋" w:hAnsi="仿宋" w:eastAsia="仿宋" w:cs="宋体"/>
                <w:kern w:val="2"/>
                <w:sz w:val="24"/>
              </w:rPr>
              <w:t>事务所对本项目税务顾问服务的工作思路、工作重难点、工作方法及保密措施等进行阐述。评标委员会对方案的合理性、完整性、可操作性进行综合评审。优得</w:t>
            </w:r>
            <w:r>
              <w:rPr>
                <w:rFonts w:ascii="仿宋" w:hAnsi="仿宋" w:eastAsia="仿宋" w:cs="宋体"/>
                <w:kern w:val="2"/>
                <w:sz w:val="24"/>
              </w:rPr>
              <w:t>3</w:t>
            </w:r>
            <w:r>
              <w:rPr>
                <w:rFonts w:hint="eastAsia" w:ascii="仿宋" w:hAnsi="仿宋" w:eastAsia="仿宋" w:cs="宋体"/>
                <w:kern w:val="2"/>
                <w:sz w:val="24"/>
              </w:rPr>
              <w:t>0～</w:t>
            </w:r>
            <w:r>
              <w:rPr>
                <w:rFonts w:ascii="仿宋" w:hAnsi="仿宋" w:eastAsia="仿宋" w:cs="宋体"/>
                <w:kern w:val="2"/>
                <w:sz w:val="24"/>
              </w:rPr>
              <w:t>20</w:t>
            </w:r>
            <w:r>
              <w:rPr>
                <w:rFonts w:hint="eastAsia" w:ascii="仿宋" w:hAnsi="仿宋" w:eastAsia="仿宋" w:cs="宋体"/>
                <w:kern w:val="2"/>
                <w:sz w:val="24"/>
              </w:rPr>
              <w:t>分，良得</w:t>
            </w:r>
            <w:r>
              <w:rPr>
                <w:rFonts w:ascii="仿宋" w:hAnsi="仿宋" w:eastAsia="仿宋" w:cs="宋体"/>
                <w:kern w:val="2"/>
                <w:sz w:val="24"/>
              </w:rPr>
              <w:t>20</w:t>
            </w:r>
            <w:r>
              <w:rPr>
                <w:rFonts w:hint="eastAsia" w:ascii="仿宋" w:hAnsi="仿宋" w:eastAsia="仿宋" w:cs="宋体"/>
                <w:kern w:val="2"/>
                <w:sz w:val="24"/>
              </w:rPr>
              <w:t>～10分，一般得9～1分，无得0分。</w:t>
            </w:r>
          </w:p>
        </w:tc>
        <w:tc>
          <w:tcPr>
            <w:tcW w:w="1199" w:type="dxa"/>
            <w:vAlign w:val="center"/>
          </w:tcPr>
          <w:p>
            <w:pPr>
              <w:spacing w:line="280" w:lineRule="exact"/>
              <w:jc w:val="center"/>
              <w:rPr>
                <w:rFonts w:ascii="仿宋" w:hAnsi="仿宋" w:eastAsia="仿宋" w:cs="宋体"/>
                <w:kern w:val="2"/>
                <w:sz w:val="24"/>
              </w:rPr>
            </w:pPr>
            <w:r>
              <w:rPr>
                <w:rFonts w:ascii="仿宋" w:hAnsi="仿宋" w:eastAsia="仿宋" w:cs="宋体"/>
                <w:kern w:val="2"/>
                <w:sz w:val="24"/>
              </w:rPr>
              <w:t>3</w:t>
            </w:r>
            <w:r>
              <w:rPr>
                <w:rFonts w:hint="eastAsia" w:ascii="仿宋" w:hAnsi="仿宋" w:eastAsia="仿宋" w:cs="宋体"/>
                <w:kern w:val="2"/>
                <w:sz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617" w:type="dxa"/>
            <w:vMerge w:val="continue"/>
            <w:vAlign w:val="center"/>
          </w:tcPr>
          <w:p>
            <w:pPr>
              <w:spacing w:line="280" w:lineRule="exact"/>
              <w:jc w:val="center"/>
              <w:rPr>
                <w:rFonts w:ascii="仿宋" w:hAnsi="仿宋" w:eastAsia="仿宋" w:cs="宋体"/>
                <w:kern w:val="2"/>
                <w:sz w:val="24"/>
              </w:rPr>
            </w:pPr>
          </w:p>
        </w:tc>
        <w:tc>
          <w:tcPr>
            <w:tcW w:w="792" w:type="dxa"/>
            <w:vMerge w:val="continue"/>
            <w:vAlign w:val="center"/>
          </w:tcPr>
          <w:p>
            <w:pPr>
              <w:spacing w:line="280" w:lineRule="exact"/>
              <w:jc w:val="center"/>
              <w:rPr>
                <w:rFonts w:ascii="仿宋" w:hAnsi="仿宋" w:eastAsia="仿宋" w:cs="宋体"/>
                <w:kern w:val="2"/>
                <w:sz w:val="24"/>
              </w:rPr>
            </w:pPr>
          </w:p>
        </w:tc>
        <w:tc>
          <w:tcPr>
            <w:tcW w:w="1199" w:type="dxa"/>
            <w:vAlign w:val="center"/>
          </w:tcPr>
          <w:p>
            <w:pPr>
              <w:spacing w:line="280" w:lineRule="exact"/>
              <w:jc w:val="center"/>
              <w:rPr>
                <w:rFonts w:ascii="仿宋" w:hAnsi="仿宋" w:eastAsia="仿宋" w:cs="宋体"/>
                <w:kern w:val="2"/>
                <w:sz w:val="24"/>
              </w:rPr>
            </w:pPr>
            <w:r>
              <w:rPr>
                <w:rFonts w:hint="eastAsia" w:ascii="仿宋" w:hAnsi="仿宋" w:eastAsia="仿宋" w:cs="宋体"/>
                <w:kern w:val="2"/>
                <w:sz w:val="24"/>
              </w:rPr>
              <w:t>服务方案中的人员配备</w:t>
            </w:r>
          </w:p>
        </w:tc>
        <w:tc>
          <w:tcPr>
            <w:tcW w:w="5980" w:type="dxa"/>
            <w:vAlign w:val="center"/>
          </w:tcPr>
          <w:p>
            <w:pPr>
              <w:spacing w:after="0" w:line="400" w:lineRule="exact"/>
              <w:ind w:firstLine="480" w:firstLineChars="200"/>
              <w:rPr>
                <w:rFonts w:ascii="仿宋" w:hAnsi="仿宋" w:eastAsia="仿宋" w:cs="宋体"/>
                <w:kern w:val="2"/>
                <w:sz w:val="24"/>
              </w:rPr>
            </w:pPr>
            <w:r>
              <w:rPr>
                <w:rFonts w:hint="eastAsia" w:ascii="仿宋" w:hAnsi="仿宋" w:eastAsia="仿宋" w:cs="宋体"/>
                <w:kern w:val="2"/>
                <w:sz w:val="24"/>
              </w:rPr>
              <w:t>配备人数合理，人员结构科学，人员从业经验丰富，得10～</w:t>
            </w:r>
            <w:r>
              <w:rPr>
                <w:rFonts w:ascii="仿宋" w:hAnsi="仿宋" w:eastAsia="仿宋" w:cs="宋体"/>
                <w:kern w:val="2"/>
                <w:sz w:val="24"/>
              </w:rPr>
              <w:t>8</w:t>
            </w:r>
            <w:r>
              <w:rPr>
                <w:rFonts w:hint="eastAsia" w:ascii="仿宋" w:hAnsi="仿宋" w:eastAsia="仿宋" w:cs="宋体"/>
                <w:kern w:val="2"/>
                <w:sz w:val="24"/>
              </w:rPr>
              <w:t>分；配备人数较合理，人员结构较科学，人员从业经验较丰富，得</w:t>
            </w:r>
            <w:r>
              <w:rPr>
                <w:rFonts w:ascii="仿宋" w:hAnsi="仿宋" w:eastAsia="仿宋" w:cs="宋体"/>
                <w:kern w:val="2"/>
                <w:sz w:val="24"/>
              </w:rPr>
              <w:t>7</w:t>
            </w:r>
            <w:r>
              <w:rPr>
                <w:rFonts w:hint="eastAsia" w:ascii="仿宋" w:hAnsi="仿宋" w:eastAsia="仿宋" w:cs="宋体"/>
                <w:kern w:val="2"/>
                <w:sz w:val="24"/>
              </w:rPr>
              <w:t>～</w:t>
            </w:r>
            <w:r>
              <w:rPr>
                <w:rFonts w:ascii="仿宋" w:hAnsi="仿宋" w:eastAsia="仿宋" w:cs="宋体"/>
                <w:kern w:val="2"/>
                <w:sz w:val="24"/>
              </w:rPr>
              <w:t>5</w:t>
            </w:r>
            <w:r>
              <w:rPr>
                <w:rFonts w:hint="eastAsia" w:ascii="仿宋" w:hAnsi="仿宋" w:eastAsia="仿宋" w:cs="宋体"/>
                <w:kern w:val="2"/>
                <w:sz w:val="24"/>
              </w:rPr>
              <w:t>分；配备人数不合理，人员结构不科学，人员从业经验一般，得</w:t>
            </w:r>
            <w:r>
              <w:rPr>
                <w:rFonts w:ascii="仿宋" w:hAnsi="仿宋" w:eastAsia="仿宋" w:cs="宋体"/>
                <w:kern w:val="2"/>
                <w:sz w:val="24"/>
              </w:rPr>
              <w:t>4</w:t>
            </w:r>
            <w:r>
              <w:rPr>
                <w:rFonts w:hint="eastAsia" w:ascii="仿宋" w:hAnsi="仿宋" w:eastAsia="仿宋" w:cs="宋体"/>
                <w:kern w:val="2"/>
                <w:sz w:val="24"/>
              </w:rPr>
              <w:t>～</w:t>
            </w:r>
            <w:r>
              <w:rPr>
                <w:rFonts w:ascii="仿宋" w:hAnsi="仿宋" w:eastAsia="仿宋" w:cs="宋体"/>
                <w:kern w:val="2"/>
                <w:sz w:val="24"/>
              </w:rPr>
              <w:t>2</w:t>
            </w:r>
            <w:r>
              <w:rPr>
                <w:rFonts w:hint="eastAsia" w:ascii="仿宋" w:hAnsi="仿宋" w:eastAsia="仿宋" w:cs="宋体"/>
                <w:kern w:val="2"/>
                <w:sz w:val="24"/>
              </w:rPr>
              <w:t>分，无此内容，得0分。</w:t>
            </w:r>
          </w:p>
        </w:tc>
        <w:tc>
          <w:tcPr>
            <w:tcW w:w="1199" w:type="dxa"/>
            <w:vAlign w:val="center"/>
          </w:tcPr>
          <w:p>
            <w:pPr>
              <w:spacing w:line="280" w:lineRule="exact"/>
              <w:jc w:val="center"/>
              <w:rPr>
                <w:rFonts w:ascii="仿宋" w:hAnsi="仿宋" w:eastAsia="仿宋" w:cs="宋体"/>
                <w:kern w:val="2"/>
                <w:sz w:val="24"/>
              </w:rPr>
            </w:pPr>
            <w:r>
              <w:rPr>
                <w:rFonts w:ascii="仿宋" w:hAnsi="仿宋" w:eastAsia="仿宋" w:cs="宋体"/>
                <w:kern w:val="2"/>
                <w:sz w:val="24"/>
              </w:rPr>
              <w:t>1</w:t>
            </w:r>
            <w:r>
              <w:rPr>
                <w:rFonts w:hint="eastAsia" w:ascii="仿宋" w:hAnsi="仿宋" w:eastAsia="仿宋" w:cs="宋体"/>
                <w:kern w:val="2"/>
                <w:sz w:val="24"/>
              </w:rPr>
              <w:t>0分</w:t>
            </w:r>
          </w:p>
        </w:tc>
      </w:tr>
    </w:tbl>
    <w:p>
      <w:pPr>
        <w:numPr>
          <w:ilvl w:val="0"/>
          <w:numId w:val="5"/>
        </w:numPr>
        <w:spacing w:after="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综合评分</w:t>
      </w:r>
    </w:p>
    <w:p>
      <w:pPr>
        <w:spacing w:after="0"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各比选申请人的综合得分等于评分细则各项之和，各项得分按四舍五入原则精确到小数点后两位。</w:t>
      </w:r>
    </w:p>
    <w:p>
      <w:pPr>
        <w:numPr>
          <w:ilvl w:val="0"/>
          <w:numId w:val="5"/>
        </w:numPr>
        <w:spacing w:after="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推荐中选候选人</w:t>
      </w:r>
    </w:p>
    <w:p>
      <w:pPr>
        <w:spacing w:after="0"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评审委员会对通过资格评审的比选申请人，按照经评审的综合得分由高到低推荐中选候选人（若不足3名，则按相应数量推荐）。若多名比选申请人的综合得分相同，则报价低的比选申请人将被优先推荐。</w:t>
      </w:r>
    </w:p>
    <w:p>
      <w:pPr>
        <w:spacing w:after="0"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br w:type="page"/>
      </w:r>
    </w:p>
    <w:p>
      <w:pPr>
        <w:spacing w:after="0" w:line="560" w:lineRule="exact"/>
        <w:ind w:firstLine="880" w:firstLineChars="200"/>
        <w:jc w:val="center"/>
        <w:rPr>
          <w:rFonts w:hint="eastAsia" w:ascii="方正小标宋简体" w:hAnsi="方正小标宋简体" w:eastAsia="方正小标宋简体" w:cs="方正小标宋简体"/>
          <w:bCs/>
          <w:kern w:val="44"/>
          <w:sz w:val="44"/>
          <w:szCs w:val="44"/>
        </w:rPr>
      </w:pPr>
      <w:bookmarkStart w:id="37" w:name="_Toc96874919"/>
      <w:r>
        <w:rPr>
          <w:rFonts w:hint="eastAsia" w:ascii="方正小标宋简体" w:hAnsi="方正小标宋简体" w:eastAsia="方正小标宋简体" w:cs="方正小标宋简体"/>
          <w:bCs/>
          <w:kern w:val="44"/>
          <w:sz w:val="44"/>
          <w:szCs w:val="44"/>
        </w:rPr>
        <w:t>第六章  合同模板</w:t>
      </w:r>
      <w:bookmarkEnd w:id="37"/>
    </w:p>
    <w:p>
      <w:pPr>
        <w:spacing w:after="0" w:line="500" w:lineRule="exact"/>
        <w:rPr>
          <w:rFonts w:asciiTheme="majorEastAsia" w:hAnsiTheme="majorEastAsia" w:eastAsiaTheme="majorEastAsia"/>
        </w:rPr>
      </w:pPr>
      <w:r>
        <w:rPr>
          <w:rFonts w:hint="eastAsia" w:asciiTheme="majorEastAsia" w:hAnsiTheme="majorEastAsia" w:eastAsiaTheme="majorEastAsia"/>
        </w:rPr>
        <w:t>注：（本合同模板仅供参考，以实际签订的法律顾问合同为准）</w:t>
      </w:r>
    </w:p>
    <w:p>
      <w:pPr>
        <w:spacing w:after="0" w:line="500" w:lineRule="exact"/>
        <w:rPr>
          <w:rFonts w:asciiTheme="majorEastAsia" w:hAnsiTheme="majorEastAsia" w:eastAsiaTheme="majorEastAsia"/>
        </w:rPr>
      </w:pPr>
    </w:p>
    <w:p>
      <w:pPr>
        <w:spacing w:line="360" w:lineRule="auto"/>
        <w:jc w:val="center"/>
        <w:rPr>
          <w:rFonts w:ascii="黑体" w:hAnsi="黑体" w:eastAsia="黑体"/>
          <w:b/>
          <w:bCs/>
          <w:sz w:val="32"/>
          <w:szCs w:val="32"/>
        </w:rPr>
      </w:pPr>
      <w:r>
        <w:rPr>
          <w:rFonts w:hint="eastAsia" w:ascii="黑体" w:hAnsi="黑体" w:eastAsia="黑体"/>
          <w:b/>
          <w:bCs/>
          <w:sz w:val="32"/>
          <w:szCs w:val="32"/>
        </w:rPr>
        <w:t>涉税顾问服务业务约定书</w:t>
      </w:r>
    </w:p>
    <w:p>
      <w:pPr>
        <w:spacing w:after="120" w:line="480" w:lineRule="auto"/>
        <w:rPr>
          <w:rFonts w:ascii="黑体" w:hAnsi="黑体" w:eastAsia="黑体"/>
          <w:b/>
        </w:rPr>
      </w:pPr>
      <w:r>
        <w:rPr>
          <w:rFonts w:hint="eastAsia" w:ascii="黑体" w:hAnsi="黑体" w:eastAsia="黑体"/>
          <w:b/>
        </w:rPr>
        <w:t>委托方：四川蜀道铁路运营管理集团有限责任公司（以下简称“甲方”）</w:t>
      </w:r>
    </w:p>
    <w:p>
      <w:pPr>
        <w:spacing w:after="120" w:line="480" w:lineRule="auto"/>
        <w:rPr>
          <w:rFonts w:ascii="黑体" w:hAnsi="黑体" w:eastAsia="黑体" w:cs="黑体"/>
          <w:b/>
        </w:rPr>
      </w:pPr>
      <w:r>
        <w:rPr>
          <w:rFonts w:hint="eastAsia" w:ascii="黑体" w:hAnsi="黑体" w:eastAsia="黑体"/>
          <w:b/>
        </w:rPr>
        <w:t xml:space="preserve">受托方：                                  </w:t>
      </w:r>
      <w:r>
        <w:rPr>
          <w:rFonts w:ascii="黑体" w:hAnsi="黑体" w:eastAsia="黑体" w:cs="黑体"/>
          <w:b/>
        </w:rPr>
        <w:t>(</w:t>
      </w:r>
      <w:r>
        <w:rPr>
          <w:rFonts w:hint="eastAsia" w:ascii="黑体" w:hAnsi="黑体" w:eastAsia="黑体" w:cs="黑体"/>
          <w:b/>
        </w:rPr>
        <w:t>以下简称“乙方”</w:t>
      </w:r>
      <w:r>
        <w:rPr>
          <w:rFonts w:ascii="黑体" w:hAnsi="黑体" w:eastAsia="黑体" w:cs="黑体"/>
          <w:b/>
        </w:rPr>
        <w:t>)</w:t>
      </w:r>
    </w:p>
    <w:p>
      <w:pPr>
        <w:pStyle w:val="11"/>
        <w:spacing w:line="460" w:lineRule="exact"/>
        <w:ind w:left="0" w:leftChars="0" w:firstLine="440" w:firstLineChars="200"/>
        <w:rPr>
          <w:rFonts w:ascii="黑体" w:hAnsi="黑体" w:eastAsia="黑体"/>
          <w:bCs/>
          <w:color w:val="000000"/>
        </w:rPr>
      </w:pPr>
      <w:r>
        <w:rPr>
          <w:rFonts w:hint="eastAsia" w:ascii="黑体" w:hAnsi="黑体" w:eastAsia="黑体"/>
          <w:bCs/>
          <w:color w:val="000000"/>
        </w:rPr>
        <w:t>甲方因业务需要，根据《中华人民共和国民法典》有关规定，现聘请乙方提供税务顾问咨询服务。经双方友好协商，协议如下：</w:t>
      </w:r>
    </w:p>
    <w:p>
      <w:pPr>
        <w:spacing w:line="360" w:lineRule="auto"/>
        <w:ind w:firstLine="442" w:firstLineChars="200"/>
        <w:rPr>
          <w:rFonts w:ascii="黑体" w:hAnsi="黑体" w:eastAsia="黑体"/>
          <w:b/>
        </w:rPr>
      </w:pPr>
      <w:r>
        <w:rPr>
          <w:rFonts w:hint="eastAsia" w:ascii="黑体" w:hAnsi="黑体" w:eastAsia="黑体"/>
          <w:b/>
        </w:rPr>
        <w:t>一、委托目的与背景</w:t>
      </w:r>
    </w:p>
    <w:p>
      <w:pPr>
        <w:spacing w:line="360" w:lineRule="auto"/>
        <w:ind w:firstLine="440" w:firstLineChars="200"/>
        <w:rPr>
          <w:rFonts w:ascii="黑体" w:hAnsi="黑体" w:eastAsia="黑体"/>
          <w:bCs/>
          <w:color w:val="000000"/>
        </w:rPr>
      </w:pPr>
      <w:r>
        <w:rPr>
          <w:rFonts w:hint="eastAsia" w:ascii="黑体" w:hAnsi="黑体" w:eastAsia="黑体"/>
          <w:bCs/>
          <w:color w:val="000000"/>
        </w:rPr>
        <w:t>（1）为甲方企业提供税收管理理念、思路和方法的支持；</w:t>
      </w:r>
    </w:p>
    <w:p>
      <w:pPr>
        <w:spacing w:line="360" w:lineRule="auto"/>
        <w:ind w:firstLine="440" w:firstLineChars="200"/>
        <w:rPr>
          <w:rFonts w:ascii="黑体" w:hAnsi="黑体" w:eastAsia="黑体"/>
          <w:bCs/>
          <w:color w:val="000000"/>
        </w:rPr>
      </w:pPr>
      <w:r>
        <w:rPr>
          <w:rFonts w:hint="eastAsia" w:ascii="黑体" w:hAnsi="黑体" w:eastAsia="黑体"/>
          <w:bCs/>
          <w:color w:val="000000"/>
        </w:rPr>
        <w:t>（2）协助甲方财务做好税收风险管理，提升应对能力。乙方每季度派人到现场进行税收检查；</w:t>
      </w:r>
    </w:p>
    <w:p>
      <w:pPr>
        <w:spacing w:line="360" w:lineRule="auto"/>
        <w:ind w:firstLine="440" w:firstLineChars="200"/>
        <w:rPr>
          <w:rFonts w:ascii="黑体" w:hAnsi="黑体" w:eastAsia="黑体"/>
        </w:rPr>
      </w:pPr>
      <w:r>
        <w:rPr>
          <w:rFonts w:hint="eastAsia" w:ascii="黑体" w:hAnsi="黑体" w:eastAsia="黑体"/>
        </w:rPr>
        <w:t>（3）协助甲方正确运用国家产业政策和财税政策，维护好税收合法权益。</w:t>
      </w:r>
    </w:p>
    <w:p>
      <w:pPr>
        <w:spacing w:line="360" w:lineRule="auto"/>
        <w:ind w:firstLine="442" w:firstLineChars="200"/>
        <w:rPr>
          <w:rFonts w:ascii="黑体" w:hAnsi="黑体" w:eastAsia="黑体"/>
          <w:b/>
        </w:rPr>
      </w:pPr>
      <w:r>
        <w:rPr>
          <w:rFonts w:hint="eastAsia" w:ascii="黑体" w:hAnsi="黑体" w:eastAsia="黑体"/>
          <w:b/>
        </w:rPr>
        <w:t>二、具体服务内容</w:t>
      </w:r>
    </w:p>
    <w:p>
      <w:pPr>
        <w:pStyle w:val="50"/>
        <w:ind w:firstLine="442"/>
        <w:rPr>
          <w:rFonts w:ascii="黑体" w:hAnsi="黑体" w:eastAsia="黑体" w:cs="楷体_GB2312"/>
          <w:b/>
        </w:rPr>
      </w:pPr>
      <w:r>
        <w:rPr>
          <w:rFonts w:hint="eastAsia" w:ascii="黑体" w:hAnsi="黑体" w:eastAsia="黑体" w:cs="楷体_GB2312"/>
          <w:b/>
        </w:rPr>
        <w:t>（一）为公司重大事项提供税务筹划并参与过程管理</w:t>
      </w:r>
    </w:p>
    <w:p>
      <w:pPr>
        <w:spacing w:line="360" w:lineRule="auto"/>
        <w:ind w:firstLine="440" w:firstLineChars="200"/>
        <w:rPr>
          <w:rFonts w:ascii="黑体" w:hAnsi="黑体" w:eastAsia="黑体"/>
          <w:bCs/>
          <w:color w:val="000000"/>
        </w:rPr>
      </w:pPr>
      <w:r>
        <w:rPr>
          <w:rFonts w:hint="eastAsia" w:ascii="黑体" w:hAnsi="黑体" w:eastAsia="黑体"/>
          <w:bCs/>
          <w:color w:val="000000"/>
        </w:rPr>
        <w:t>根据甲方要求，有前瞻性的对各重要经济事项（项目）的经营模式、业务流程、管理内容等进行设计安排，规避税务风险，合法降低综合税负。包括但不限于以下方面：</w:t>
      </w:r>
    </w:p>
    <w:p>
      <w:pPr>
        <w:spacing w:line="360" w:lineRule="auto"/>
        <w:ind w:firstLine="440" w:firstLineChars="200"/>
        <w:rPr>
          <w:rFonts w:ascii="黑体" w:hAnsi="黑体" w:eastAsia="黑体"/>
          <w:bCs/>
          <w:color w:val="000000"/>
        </w:rPr>
      </w:pPr>
      <w:r>
        <w:rPr>
          <w:rFonts w:hint="eastAsia" w:ascii="黑体" w:hAnsi="黑体" w:eastAsia="黑体"/>
          <w:bCs/>
          <w:color w:val="000000"/>
        </w:rPr>
        <w:t>1、针对甲方综合开发顶层需求，设计方案并辅导落地实施，乙方会随时接受咨询并在三天内进行邮件、书面回复。</w:t>
      </w:r>
    </w:p>
    <w:p>
      <w:pPr>
        <w:spacing w:line="360" w:lineRule="auto"/>
        <w:ind w:firstLine="440" w:firstLineChars="200"/>
        <w:rPr>
          <w:rFonts w:ascii="黑体" w:hAnsi="黑体" w:eastAsia="黑体"/>
          <w:bCs/>
          <w:color w:val="000000"/>
        </w:rPr>
      </w:pPr>
      <w:r>
        <w:rPr>
          <w:rFonts w:hint="eastAsia" w:ascii="黑体" w:hAnsi="黑体" w:eastAsia="黑体"/>
          <w:bCs/>
          <w:color w:val="000000"/>
        </w:rPr>
        <w:t>2、针对甲方股权收构、资产收购、吸收合并、增资扩股等业务进行税收整体筹划，针对具体案例具体分析原则提供咨询，确保三天内进行回复。</w:t>
      </w:r>
    </w:p>
    <w:p>
      <w:pPr>
        <w:spacing w:line="360" w:lineRule="auto"/>
        <w:ind w:firstLine="440" w:firstLineChars="200"/>
        <w:rPr>
          <w:rFonts w:ascii="黑体" w:hAnsi="黑体" w:eastAsia="黑体"/>
          <w:bCs/>
          <w:color w:val="000000"/>
        </w:rPr>
      </w:pPr>
      <w:r>
        <w:rPr>
          <w:rFonts w:hint="eastAsia" w:ascii="黑体" w:hAnsi="黑体" w:eastAsia="黑体"/>
          <w:bCs/>
          <w:color w:val="000000"/>
        </w:rPr>
        <w:t>3、针对甲方组织架构以及平台公司的增设和甲方战略发展进行税收筹划。根据甲方实际发展情况，定期对甲方的组织构架进行检查，对存在的不合理或需要改进的地方及时向甲方提出，并出具报告。</w:t>
      </w:r>
    </w:p>
    <w:p>
      <w:pPr>
        <w:spacing w:line="360" w:lineRule="auto"/>
        <w:ind w:firstLine="440" w:firstLineChars="200"/>
        <w:rPr>
          <w:rFonts w:ascii="黑体" w:hAnsi="黑体" w:eastAsia="黑体"/>
          <w:bCs/>
          <w:color w:val="000000"/>
        </w:rPr>
      </w:pPr>
      <w:r>
        <w:rPr>
          <w:rFonts w:hint="eastAsia" w:ascii="黑体" w:hAnsi="黑体" w:eastAsia="黑体"/>
          <w:bCs/>
          <w:color w:val="000000"/>
        </w:rPr>
        <w:t>4、根据甲方实际经营情况，合理筹划甲方的资金流，以获得资金的最大利用价值。</w:t>
      </w:r>
    </w:p>
    <w:p>
      <w:pPr>
        <w:pStyle w:val="50"/>
        <w:ind w:firstLine="442"/>
        <w:rPr>
          <w:rFonts w:ascii="黑体" w:hAnsi="黑体" w:eastAsia="黑体" w:cs="楷体_GB2312"/>
          <w:b/>
        </w:rPr>
      </w:pPr>
      <w:r>
        <w:rPr>
          <w:rFonts w:hint="eastAsia" w:ascii="黑体" w:hAnsi="黑体" w:eastAsia="黑体" w:cs="楷体_GB2312"/>
          <w:b/>
        </w:rPr>
        <w:t>（二）参与重要经济合同涉税评审及检查</w:t>
      </w:r>
    </w:p>
    <w:p>
      <w:pPr>
        <w:spacing w:line="360" w:lineRule="auto"/>
        <w:ind w:firstLine="550" w:firstLineChars="250"/>
        <w:rPr>
          <w:rFonts w:ascii="黑体" w:hAnsi="黑体" w:eastAsia="黑体"/>
          <w:bCs/>
          <w:color w:val="000000"/>
        </w:rPr>
      </w:pPr>
      <w:r>
        <w:rPr>
          <w:rFonts w:hint="eastAsia" w:ascii="黑体" w:hAnsi="黑体" w:eastAsia="黑体"/>
          <w:bCs/>
          <w:color w:val="000000"/>
        </w:rPr>
        <w:t>1、根据甲方需求，针对甲方后期签定的重大合同进行财务税收审核，对超过100万以上的合同进行财税合同评审并出具税务意见（同类别的只审核其中一个合同），从源头规避税务风险，合法降低税负以确保决策中税务事项的科学性。</w:t>
      </w:r>
    </w:p>
    <w:p>
      <w:pPr>
        <w:spacing w:line="360" w:lineRule="auto"/>
        <w:ind w:firstLine="550" w:firstLineChars="250"/>
        <w:rPr>
          <w:rFonts w:ascii="黑体" w:hAnsi="黑体" w:eastAsia="黑体"/>
          <w:bCs/>
          <w:color w:val="000000"/>
        </w:rPr>
      </w:pPr>
      <w:r>
        <w:rPr>
          <w:rFonts w:hint="eastAsia" w:ascii="黑体" w:hAnsi="黑体" w:eastAsia="黑体"/>
          <w:bCs/>
          <w:color w:val="000000"/>
        </w:rPr>
        <w:t>2、随时接受财务对个别合同的咨询。</w:t>
      </w:r>
    </w:p>
    <w:p>
      <w:pPr>
        <w:spacing w:line="360" w:lineRule="auto"/>
        <w:ind w:firstLine="550" w:firstLineChars="250"/>
        <w:rPr>
          <w:rFonts w:ascii="黑体" w:hAnsi="黑体" w:eastAsia="黑体"/>
          <w:bCs/>
          <w:color w:val="000000"/>
        </w:rPr>
      </w:pPr>
      <w:r>
        <w:rPr>
          <w:rFonts w:hint="eastAsia" w:ascii="黑体" w:hAnsi="黑体" w:eastAsia="黑体"/>
          <w:bCs/>
          <w:color w:val="000000"/>
        </w:rPr>
        <w:t>3、加强对甲方签署合同的审查，对重大合同（超过100万的合同）抽查率达到50%及以上，小额合同抽查率达到10%。</w:t>
      </w:r>
    </w:p>
    <w:p>
      <w:pPr>
        <w:spacing w:line="360" w:lineRule="auto"/>
        <w:ind w:firstLine="440" w:firstLineChars="200"/>
        <w:rPr>
          <w:rFonts w:ascii="黑体" w:hAnsi="黑体" w:eastAsia="黑体"/>
          <w:bCs/>
          <w:color w:val="000000"/>
        </w:rPr>
      </w:pPr>
      <w:r>
        <w:rPr>
          <w:rFonts w:hint="eastAsia" w:ascii="黑体" w:hAnsi="黑体" w:eastAsia="黑体"/>
          <w:bCs/>
          <w:color w:val="000000"/>
        </w:rPr>
        <w:t>4、针对甲方前期已发生的各项重大经济合同（超过100万的合同）进行税务审核，并出具意见、建议报告。</w:t>
      </w:r>
    </w:p>
    <w:p>
      <w:pPr>
        <w:pStyle w:val="50"/>
        <w:ind w:firstLine="442"/>
        <w:rPr>
          <w:rFonts w:ascii="黑体" w:hAnsi="黑体" w:eastAsia="黑体" w:cs="楷体_GB2312"/>
          <w:b/>
        </w:rPr>
      </w:pPr>
      <w:r>
        <w:rPr>
          <w:rFonts w:hint="eastAsia" w:ascii="黑体" w:hAnsi="黑体" w:eastAsia="黑体" w:cs="楷体_GB2312"/>
          <w:b/>
        </w:rPr>
        <w:t>（三）日常财税答疑及提供解决办法</w:t>
      </w:r>
    </w:p>
    <w:p>
      <w:pPr>
        <w:spacing w:line="360" w:lineRule="auto"/>
        <w:ind w:firstLine="550" w:firstLineChars="250"/>
        <w:rPr>
          <w:rFonts w:ascii="黑体" w:hAnsi="黑体" w:eastAsia="黑体"/>
          <w:bCs/>
          <w:color w:val="000000"/>
        </w:rPr>
      </w:pPr>
      <w:r>
        <w:rPr>
          <w:rFonts w:hint="eastAsia" w:ascii="黑体" w:hAnsi="黑体" w:eastAsia="黑体"/>
          <w:bCs/>
          <w:color w:val="000000"/>
        </w:rPr>
        <w:t>乙方将根据甲方的业务发展需求，每季度走访并记录随访录，提供税收法律、法规和政策方面的咨询，纳税申报操作环节、会计处理及具体方法的咨询；同时对提出的税收政策方面的疑难问题进行解答。</w:t>
      </w:r>
    </w:p>
    <w:p>
      <w:pPr>
        <w:spacing w:line="360" w:lineRule="auto"/>
        <w:ind w:firstLine="440" w:firstLineChars="200"/>
        <w:rPr>
          <w:rFonts w:ascii="黑体" w:hAnsi="黑体" w:eastAsia="黑体"/>
          <w:bCs/>
          <w:color w:val="000000"/>
        </w:rPr>
      </w:pPr>
      <w:r>
        <w:rPr>
          <w:rFonts w:hint="eastAsia" w:ascii="黑体" w:hAnsi="黑体" w:eastAsia="黑体"/>
          <w:bCs/>
          <w:color w:val="000000"/>
        </w:rPr>
        <w:t>乙方接受委托后，将根据甲方经营业务性质，分析各税种可能存在的风险，重点解决存在的涉税事项，做好行业疑难问题解答，为企业相关税收优惠政策享用提供充分的法律法规依据，同时在征收管理环节为企业提供最准确的专业知识。</w:t>
      </w:r>
    </w:p>
    <w:p>
      <w:pPr>
        <w:spacing w:line="360" w:lineRule="auto"/>
        <w:ind w:firstLine="550" w:firstLineChars="250"/>
        <w:rPr>
          <w:rFonts w:ascii="黑体" w:hAnsi="黑体" w:eastAsia="黑体"/>
          <w:bCs/>
          <w:color w:val="000000"/>
        </w:rPr>
      </w:pPr>
      <w:r>
        <w:rPr>
          <w:rFonts w:hint="eastAsia" w:ascii="黑体" w:hAnsi="黑体" w:eastAsia="黑体"/>
          <w:bCs/>
          <w:color w:val="000000"/>
        </w:rPr>
        <w:t>日常涉税解答对象包含甲方相关财务人员以及部分业务人员。通过电话、QQ、邮件等形式解答甲方相关人员日常工作中遇到的财税问题。甲方相关人员可随时向我方电话咨询有关涉税问题，对于特殊情况也可到甲方指定的地点提供服务。</w:t>
      </w:r>
    </w:p>
    <w:p>
      <w:pPr>
        <w:pStyle w:val="50"/>
        <w:ind w:firstLine="442"/>
        <w:rPr>
          <w:rFonts w:ascii="黑体" w:hAnsi="黑体" w:eastAsia="黑体" w:cs="楷体_GB2312"/>
          <w:b/>
        </w:rPr>
      </w:pPr>
      <w:r>
        <w:rPr>
          <w:rFonts w:hint="eastAsia" w:ascii="黑体" w:hAnsi="黑体" w:eastAsia="黑体" w:cs="楷体_GB2312"/>
          <w:b/>
        </w:rPr>
        <w:t>（四）新政策解读与分享</w:t>
      </w:r>
    </w:p>
    <w:p>
      <w:pPr>
        <w:spacing w:line="360" w:lineRule="auto"/>
        <w:ind w:firstLine="550" w:firstLineChars="250"/>
        <w:rPr>
          <w:rFonts w:ascii="黑体" w:hAnsi="黑体" w:eastAsia="黑体"/>
          <w:bCs/>
          <w:color w:val="000000"/>
        </w:rPr>
      </w:pPr>
      <w:r>
        <w:rPr>
          <w:rFonts w:hint="eastAsia" w:ascii="黑体" w:hAnsi="黑体" w:eastAsia="黑体"/>
          <w:bCs/>
          <w:color w:val="000000"/>
        </w:rPr>
        <w:t>随时向甲方传递各级财税部门出台的最新政策以及专家团队的解读，对特定政策文件进行解释。根据甲方经营范围，分析年度经济收入类型、性质，运用增值税、所得税等税收优惠政策，为甲方提供比较精准的税收优惠政策建议。</w:t>
      </w:r>
    </w:p>
    <w:p>
      <w:pPr>
        <w:pStyle w:val="50"/>
        <w:ind w:firstLine="442"/>
        <w:rPr>
          <w:rFonts w:ascii="黑体" w:hAnsi="黑体" w:eastAsia="黑体" w:cs="楷体_GB2312"/>
          <w:b/>
        </w:rPr>
      </w:pPr>
      <w:r>
        <w:rPr>
          <w:rFonts w:hint="eastAsia" w:ascii="黑体" w:hAnsi="黑体" w:eastAsia="黑体" w:cs="楷体_GB2312"/>
          <w:b/>
        </w:rPr>
        <w:t>（五）纳税遵从日常健康体检及特别事项专门检查</w:t>
      </w:r>
    </w:p>
    <w:p>
      <w:pPr>
        <w:spacing w:line="360" w:lineRule="auto"/>
        <w:ind w:firstLine="440" w:firstLineChars="200"/>
        <w:rPr>
          <w:rFonts w:ascii="黑体" w:hAnsi="黑体" w:eastAsia="黑体"/>
          <w:bCs/>
          <w:color w:val="000000"/>
        </w:rPr>
      </w:pPr>
      <w:r>
        <w:rPr>
          <w:rFonts w:hint="eastAsia" w:ascii="黑体" w:hAnsi="黑体" w:eastAsia="黑体"/>
          <w:bCs/>
          <w:color w:val="000000"/>
        </w:rPr>
        <w:t>1、协助甲方开展税收专项自查工作，并对税务自查评估过程中发现的问题提供解决方案，确保甲方的税务操作合规合法，最大限度的规避税务风险。</w:t>
      </w:r>
    </w:p>
    <w:p>
      <w:pPr>
        <w:spacing w:line="360" w:lineRule="auto"/>
        <w:ind w:firstLine="440" w:firstLineChars="200"/>
        <w:rPr>
          <w:rFonts w:ascii="黑体" w:hAnsi="黑体" w:eastAsia="黑体"/>
          <w:bCs/>
          <w:color w:val="000000"/>
        </w:rPr>
      </w:pPr>
      <w:r>
        <w:rPr>
          <w:rFonts w:hint="eastAsia" w:ascii="黑体" w:hAnsi="黑体" w:eastAsia="黑体"/>
          <w:bCs/>
          <w:color w:val="000000"/>
        </w:rPr>
        <w:t>2、对会计核算方式、财务处理提供咨询服务。每次对甲方财务凭证进行不少于</w:t>
      </w:r>
      <w:r>
        <w:rPr>
          <w:rFonts w:ascii="黑体" w:hAnsi="黑体" w:eastAsia="黑体"/>
          <w:bCs/>
          <w:color w:val="000000"/>
        </w:rPr>
        <w:t>50</w:t>
      </w:r>
      <w:r>
        <w:rPr>
          <w:rFonts w:hint="eastAsia" w:ascii="黑体" w:hAnsi="黑体" w:eastAsia="黑体"/>
          <w:bCs/>
          <w:color w:val="000000"/>
        </w:rPr>
        <w:t>%的抽查，根据企业会计准则以及税收相关规定，对甲方财务凭证以及税收账务处理存在的问题及时提出整改建议，并指导甲方进行改进，对改进效果予以跟踪，形成闭环监控管理，从而逐步规范相关财税工作。</w:t>
      </w:r>
    </w:p>
    <w:p>
      <w:pPr>
        <w:spacing w:line="360" w:lineRule="auto"/>
        <w:ind w:firstLine="552" w:firstLineChars="250"/>
        <w:rPr>
          <w:rFonts w:ascii="黑体" w:hAnsi="黑体" w:eastAsia="黑体" w:cs="楷体_GB2312"/>
          <w:b/>
        </w:rPr>
      </w:pPr>
      <w:r>
        <w:rPr>
          <w:rFonts w:hint="eastAsia" w:ascii="黑体" w:hAnsi="黑体" w:eastAsia="黑体" w:cs="楷体_GB2312"/>
          <w:b/>
        </w:rPr>
        <w:t>（六）协助甲方与税务部门的交流、沟通</w:t>
      </w:r>
    </w:p>
    <w:p>
      <w:pPr>
        <w:spacing w:line="360" w:lineRule="auto"/>
        <w:ind w:firstLine="480"/>
        <w:rPr>
          <w:rFonts w:ascii="黑体" w:hAnsi="黑体" w:eastAsia="黑体"/>
          <w:bCs/>
          <w:color w:val="000000"/>
        </w:rPr>
      </w:pPr>
      <w:r>
        <w:rPr>
          <w:rFonts w:hint="eastAsia" w:ascii="黑体" w:hAnsi="黑体" w:eastAsia="黑体"/>
          <w:bCs/>
          <w:color w:val="000000"/>
        </w:rPr>
        <w:t>针对甲方遇到的疑难问题，如增值税纳税义务时间、统借统还等问题，利用乙方良好的沟通渠道，争取取得更有利于甲方的政策支持，以达到及时准确纳税之目的，规避涉税风险。</w:t>
      </w:r>
    </w:p>
    <w:p>
      <w:pPr>
        <w:spacing w:line="360" w:lineRule="auto"/>
        <w:ind w:firstLine="552" w:firstLineChars="250"/>
        <w:rPr>
          <w:rFonts w:ascii="黑体" w:hAnsi="黑体" w:eastAsia="黑体" w:cs="楷体_GB2312"/>
          <w:b/>
        </w:rPr>
      </w:pPr>
      <w:r>
        <w:rPr>
          <w:rFonts w:hint="eastAsia" w:ascii="黑体" w:hAnsi="黑体" w:eastAsia="黑体" w:cs="楷体_GB2312"/>
          <w:b/>
        </w:rPr>
        <w:t>（七）协助甲方与政府相关部门的交流、沟通</w:t>
      </w:r>
    </w:p>
    <w:p>
      <w:pPr>
        <w:spacing w:line="360" w:lineRule="auto"/>
        <w:ind w:firstLine="480"/>
        <w:rPr>
          <w:rFonts w:ascii="黑体" w:hAnsi="黑体" w:eastAsia="黑体"/>
          <w:bCs/>
          <w:color w:val="000000"/>
        </w:rPr>
      </w:pPr>
      <w:r>
        <w:rPr>
          <w:rFonts w:hint="eastAsia" w:ascii="黑体" w:hAnsi="黑体" w:eastAsia="黑体"/>
          <w:bCs/>
          <w:color w:val="000000"/>
        </w:rPr>
        <w:t>根据甲方的经营规模与业绩，协助甲方与政府相关部门沟通交流，及时全方位享受到政府给予企业的各种奖励和政策支持。</w:t>
      </w:r>
    </w:p>
    <w:p>
      <w:pPr>
        <w:pStyle w:val="50"/>
        <w:ind w:firstLine="442"/>
        <w:rPr>
          <w:rFonts w:ascii="黑体" w:hAnsi="黑体" w:eastAsia="黑体" w:cs="楷体_GB2312"/>
          <w:b/>
        </w:rPr>
      </w:pPr>
      <w:r>
        <w:rPr>
          <w:rFonts w:hint="eastAsia" w:ascii="黑体" w:hAnsi="黑体" w:eastAsia="黑体" w:cs="楷体_GB2312"/>
          <w:b/>
        </w:rPr>
        <w:t>三  服务方式</w:t>
      </w:r>
    </w:p>
    <w:p>
      <w:pPr>
        <w:pStyle w:val="50"/>
        <w:ind w:firstLine="440"/>
        <w:rPr>
          <w:rFonts w:ascii="黑体" w:hAnsi="黑体" w:eastAsia="黑体" w:cs="楷体_GB2312"/>
        </w:rPr>
      </w:pPr>
      <w:r>
        <w:rPr>
          <w:rFonts w:eastAsia="黑体" w:cs="楷体_GB2312" w:asciiTheme="majorEastAsia" w:hAnsiTheme="majorEastAsia"/>
        </w:rPr>
        <w:t> </w:t>
      </w:r>
      <w:r>
        <w:rPr>
          <w:rFonts w:hint="eastAsia" w:ascii="黑体" w:hAnsi="黑体" w:eastAsia="黑体" w:cs="楷体_GB2312"/>
        </w:rPr>
        <w:t>根据以上服务范围，乙方税务顾问服务原则上采取“随时电话联系”与“定期实地查核”相结合的工作方式，具体为：</w:t>
      </w:r>
    </w:p>
    <w:p>
      <w:pPr>
        <w:pStyle w:val="50"/>
        <w:ind w:firstLine="440"/>
        <w:rPr>
          <w:rFonts w:ascii="黑体" w:hAnsi="黑体" w:eastAsia="黑体" w:cs="楷体_GB2312"/>
        </w:rPr>
      </w:pPr>
      <w:r>
        <w:rPr>
          <w:rFonts w:ascii="黑体" w:hAnsi="黑体" w:eastAsia="黑体" w:cs="楷体_GB2312"/>
        </w:rPr>
        <w:t>1</w:t>
      </w:r>
      <w:r>
        <w:rPr>
          <w:rFonts w:hint="eastAsia" w:ascii="黑体" w:hAnsi="黑体" w:eastAsia="黑体" w:cs="楷体_GB2312"/>
        </w:rPr>
        <w:t>、安排服务团队：乙方在协议签订后，根据甲方服务要求及相关情况成立服务团队，并指定专门的客户经理负责日常联系和组织服务实施；</w:t>
      </w:r>
    </w:p>
    <w:p>
      <w:pPr>
        <w:pStyle w:val="50"/>
        <w:ind w:firstLine="440"/>
        <w:rPr>
          <w:rFonts w:ascii="黑体" w:hAnsi="黑体" w:eastAsia="黑体" w:cs="楷体_GB2312"/>
        </w:rPr>
      </w:pPr>
      <w:r>
        <w:rPr>
          <w:rFonts w:ascii="黑体" w:hAnsi="黑体" w:eastAsia="黑体" w:cs="楷体_GB2312"/>
        </w:rPr>
        <w:t>2</w:t>
      </w:r>
      <w:r>
        <w:rPr>
          <w:rFonts w:hint="eastAsia" w:ascii="黑体" w:hAnsi="黑体" w:eastAsia="黑体" w:cs="楷体_GB2312"/>
        </w:rPr>
        <w:t>、制定服务计划：乙方进行首次服务时应与甲方进行充分沟通，在本协议原则内，根据甲方的需求落实服务期间内具体服务内容，制定相应的服务计划并实施。</w:t>
      </w:r>
    </w:p>
    <w:p>
      <w:pPr>
        <w:pStyle w:val="50"/>
        <w:ind w:firstLine="440"/>
        <w:rPr>
          <w:rFonts w:ascii="黑体" w:hAnsi="黑体" w:eastAsia="黑体" w:cs="楷体_GB2312"/>
        </w:rPr>
      </w:pPr>
      <w:r>
        <w:rPr>
          <w:rFonts w:ascii="黑体" w:hAnsi="黑体" w:eastAsia="黑体" w:cs="楷体_GB2312"/>
        </w:rPr>
        <w:t>3</w:t>
      </w:r>
      <w:r>
        <w:rPr>
          <w:rFonts w:hint="eastAsia" w:ascii="黑体" w:hAnsi="黑体" w:eastAsia="黑体" w:cs="楷体_GB2312"/>
        </w:rPr>
        <w:t>、政策信息传递：乙方以短信、网络等灵活的方式为甲方及时传递相关财税政策信息，按甲方提供相关接收信息的相关人员的手机号、邮箱发送相关信息。</w:t>
      </w:r>
    </w:p>
    <w:p>
      <w:pPr>
        <w:pStyle w:val="50"/>
        <w:ind w:firstLine="440"/>
        <w:rPr>
          <w:rFonts w:ascii="黑体" w:hAnsi="黑体" w:eastAsia="黑体" w:cs="楷体_GB2312"/>
        </w:rPr>
      </w:pPr>
      <w:r>
        <w:rPr>
          <w:rFonts w:ascii="黑体" w:hAnsi="黑体" w:eastAsia="黑体" w:cs="楷体_GB2312"/>
        </w:rPr>
        <w:t>4</w:t>
      </w:r>
      <w:r>
        <w:rPr>
          <w:rFonts w:hint="eastAsia" w:ascii="黑体" w:hAnsi="黑体" w:eastAsia="黑体" w:cs="楷体_GB2312"/>
        </w:rPr>
        <w:t>、电话交流咨询：甲方可随时就相关涉税事项向乙方服务人员进行电话咨询，根据问题的难易程度可向乙方包括合伙人、部门负责人、项目经理等人员进行电话沟通，对重要涉税事项乙方服务人员应作电话记录。</w:t>
      </w:r>
    </w:p>
    <w:p>
      <w:pPr>
        <w:pStyle w:val="50"/>
        <w:ind w:firstLine="440"/>
        <w:rPr>
          <w:rFonts w:ascii="黑体" w:hAnsi="黑体" w:eastAsia="黑体" w:cs="楷体_GB2312"/>
        </w:rPr>
      </w:pPr>
      <w:r>
        <w:rPr>
          <w:rFonts w:ascii="黑体" w:hAnsi="黑体" w:eastAsia="黑体" w:cs="楷体_GB2312"/>
        </w:rPr>
        <w:t>5</w:t>
      </w:r>
      <w:r>
        <w:rPr>
          <w:rFonts w:hint="eastAsia" w:ascii="黑体" w:hAnsi="黑体" w:eastAsia="黑体" w:cs="楷体_GB2312"/>
        </w:rPr>
        <w:t>、现场服务安排：乙方根据计划安排每次主动上门服务前应与甲方预约和沟通，甲方也可根据涉税事项需要，要求乙方上门服务或到乙方处咨询，但应提前通知乙方，以便合理安排人员和时间。现场服务主要实施专门事项咨询及纳税审核等服务内容。</w:t>
      </w:r>
    </w:p>
    <w:p>
      <w:pPr>
        <w:pStyle w:val="50"/>
        <w:ind w:firstLine="440"/>
        <w:rPr>
          <w:rFonts w:ascii="黑体" w:hAnsi="黑体" w:eastAsia="黑体" w:cs="楷体_GB2312"/>
        </w:rPr>
      </w:pPr>
      <w:r>
        <w:rPr>
          <w:rFonts w:ascii="黑体" w:hAnsi="黑体" w:eastAsia="黑体" w:cs="楷体_GB2312"/>
        </w:rPr>
        <w:t>6</w:t>
      </w:r>
      <w:r>
        <w:rPr>
          <w:rFonts w:hint="eastAsia" w:ascii="黑体" w:hAnsi="黑体" w:eastAsia="黑体" w:cs="楷体_GB2312"/>
        </w:rPr>
        <w:t>、服务质量监督：在服务期间内，甲方可对乙方的服务质量及方式提出建议和意见，乙方管理层应定期与甲方进行沟通交流，征求服务意见，并及时对甲方意见进行落实反馈。</w:t>
      </w:r>
    </w:p>
    <w:p>
      <w:pPr>
        <w:pStyle w:val="50"/>
        <w:ind w:firstLine="442"/>
        <w:rPr>
          <w:rFonts w:ascii="黑体" w:hAnsi="黑体" w:eastAsia="黑体" w:cs="楷体_GB2312"/>
          <w:b/>
        </w:rPr>
      </w:pPr>
      <w:r>
        <w:rPr>
          <w:rFonts w:hint="eastAsia" w:ascii="黑体" w:hAnsi="黑体" w:eastAsia="黑体" w:cs="楷体_GB2312"/>
          <w:b/>
        </w:rPr>
        <w:t>四、甲方的责任与义务</w:t>
      </w:r>
    </w:p>
    <w:p>
      <w:pPr>
        <w:pStyle w:val="50"/>
        <w:ind w:firstLine="440"/>
        <w:rPr>
          <w:rFonts w:ascii="黑体" w:hAnsi="黑体" w:eastAsia="黑体" w:cs="楷体_GB2312"/>
        </w:rPr>
      </w:pPr>
      <w:r>
        <w:rPr>
          <w:rFonts w:ascii="黑体" w:hAnsi="黑体" w:eastAsia="黑体" w:cs="楷体_GB2312"/>
        </w:rPr>
        <w:t>1</w:t>
      </w:r>
      <w:r>
        <w:rPr>
          <w:rFonts w:hint="eastAsia" w:ascii="黑体" w:hAnsi="黑体" w:eastAsia="黑体" w:cs="楷体_GB2312"/>
        </w:rPr>
        <w:t>、甲方应及时、真实、详尽地向乙方提供与乙方服务事项有关的全部文件及背景材料</w:t>
      </w:r>
      <w:r>
        <w:rPr>
          <w:rFonts w:ascii="黑体" w:hAnsi="黑体" w:eastAsia="黑体"/>
          <w:color w:val="222222"/>
          <w:shd w:val="clear" w:color="auto" w:fill="FFFFFF"/>
        </w:rPr>
        <w:t>并对其真实性、合法性、完整性负责</w:t>
      </w:r>
      <w:r>
        <w:rPr>
          <w:rFonts w:hint="eastAsia" w:ascii="黑体" w:hAnsi="黑体" w:eastAsia="黑体"/>
          <w:color w:val="222222"/>
          <w:shd w:val="clear" w:color="auto" w:fill="FFFFFF"/>
        </w:rPr>
        <w:t>；</w:t>
      </w:r>
      <w:r>
        <w:rPr>
          <w:rFonts w:hint="eastAsia" w:ascii="黑体" w:hAnsi="黑体" w:eastAsia="黑体" w:cs="楷体_GB2312"/>
        </w:rPr>
        <w:t>对乙方服务人员所需查阅的相关文件材料及提出询问的相关事项，甲方应及时提供与回答。</w:t>
      </w:r>
      <w:r>
        <w:rPr>
          <w:rFonts w:ascii="黑体" w:hAnsi="黑体" w:eastAsia="黑体"/>
          <w:color w:val="222222"/>
          <w:shd w:val="clear" w:color="auto" w:fill="FFFFFF"/>
        </w:rPr>
        <w:t>如因甲方提供的涉税资料失实，造成代理结果错误的，乙方不负赔偿责任。</w:t>
      </w:r>
    </w:p>
    <w:p>
      <w:pPr>
        <w:pStyle w:val="50"/>
        <w:ind w:firstLine="440"/>
        <w:rPr>
          <w:rFonts w:ascii="黑体" w:hAnsi="黑体" w:eastAsia="黑体" w:cs="楷体_GB2312"/>
        </w:rPr>
      </w:pPr>
      <w:r>
        <w:rPr>
          <w:rFonts w:ascii="黑体" w:hAnsi="黑体" w:eastAsia="黑体" w:cs="楷体_GB2312"/>
        </w:rPr>
        <w:t>2</w:t>
      </w:r>
      <w:r>
        <w:rPr>
          <w:rFonts w:hint="eastAsia" w:ascii="黑体" w:hAnsi="黑体" w:eastAsia="黑体" w:cs="楷体_GB2312"/>
        </w:rPr>
        <w:t>、甲方应积极主动地配合乙方服务人员为甲方涉税事项从事的各项工作，并根据实际情况为乙方工作人员提供必要的工作条件及其他便利。</w:t>
      </w:r>
    </w:p>
    <w:p>
      <w:pPr>
        <w:pStyle w:val="50"/>
        <w:ind w:firstLine="440"/>
        <w:rPr>
          <w:rFonts w:ascii="黑体" w:hAnsi="黑体" w:eastAsia="黑体" w:cs="楷体_GB2312"/>
        </w:rPr>
      </w:pPr>
      <w:r>
        <w:rPr>
          <w:rFonts w:ascii="黑体" w:hAnsi="黑体" w:eastAsia="黑体" w:cs="楷体_GB2312"/>
        </w:rPr>
        <w:t>3</w:t>
      </w:r>
      <w:r>
        <w:rPr>
          <w:rFonts w:hint="eastAsia" w:ascii="黑体" w:hAnsi="黑体" w:eastAsia="黑体" w:cs="楷体_GB2312"/>
        </w:rPr>
        <w:t>、甲方对乙方提供的服务建议采纳与否应自行做出决策，甲方不得要求乙方提供违反法律、法规及相关政策规定服务。</w:t>
      </w:r>
    </w:p>
    <w:p>
      <w:pPr>
        <w:pStyle w:val="50"/>
        <w:ind w:firstLine="440"/>
        <w:rPr>
          <w:rFonts w:ascii="黑体" w:hAnsi="黑体" w:eastAsia="黑体" w:cs="楷体_GB2312"/>
        </w:rPr>
      </w:pPr>
      <w:r>
        <w:rPr>
          <w:rFonts w:ascii="黑体" w:hAnsi="黑体" w:eastAsia="黑体" w:cs="楷体_GB2312"/>
        </w:rPr>
        <w:t>4</w:t>
      </w:r>
      <w:r>
        <w:rPr>
          <w:rFonts w:hint="eastAsia" w:ascii="黑体" w:hAnsi="黑体" w:eastAsia="黑体" w:cs="楷体_GB2312"/>
        </w:rPr>
        <w:t>、按本协议书约定及时足额向乙方支付顾问服务费用。</w:t>
      </w:r>
    </w:p>
    <w:p>
      <w:pPr>
        <w:pStyle w:val="50"/>
        <w:ind w:firstLine="442"/>
        <w:rPr>
          <w:rFonts w:ascii="黑体" w:hAnsi="黑体" w:eastAsia="黑体" w:cs="楷体_GB2312"/>
          <w:b/>
        </w:rPr>
      </w:pPr>
      <w:r>
        <w:rPr>
          <w:rFonts w:hint="eastAsia" w:ascii="黑体" w:hAnsi="黑体" w:eastAsia="黑体" w:cs="楷体_GB2312"/>
          <w:b/>
        </w:rPr>
        <w:t>五、乙方的责任和义务</w:t>
      </w:r>
    </w:p>
    <w:p>
      <w:pPr>
        <w:pStyle w:val="50"/>
        <w:ind w:firstLine="440"/>
        <w:rPr>
          <w:rFonts w:ascii="黑体" w:hAnsi="黑体" w:eastAsia="黑体" w:cs="楷体_GB2312"/>
        </w:rPr>
      </w:pPr>
      <w:r>
        <w:rPr>
          <w:rFonts w:ascii="黑体" w:hAnsi="黑体" w:eastAsia="黑体" w:cs="楷体_GB2312"/>
        </w:rPr>
        <w:t>1</w:t>
      </w:r>
      <w:r>
        <w:rPr>
          <w:rFonts w:hint="eastAsia" w:ascii="黑体" w:hAnsi="黑体" w:eastAsia="黑体" w:cs="楷体_GB2312"/>
        </w:rPr>
        <w:t>、乙方在签订协议后，按协议约定的甲方需求，合理安排服务团队及人员按服务计划为甲方提供税务服务。</w:t>
      </w:r>
    </w:p>
    <w:p>
      <w:pPr>
        <w:pStyle w:val="50"/>
        <w:ind w:firstLine="440"/>
        <w:rPr>
          <w:rFonts w:ascii="黑体" w:hAnsi="黑体" w:eastAsia="黑体" w:cs="楷体_GB2312"/>
        </w:rPr>
      </w:pPr>
      <w:r>
        <w:rPr>
          <w:rFonts w:ascii="黑体" w:hAnsi="黑体" w:eastAsia="黑体" w:cs="楷体_GB2312"/>
        </w:rPr>
        <w:t>2</w:t>
      </w:r>
      <w:r>
        <w:rPr>
          <w:rFonts w:hint="eastAsia" w:ascii="黑体" w:hAnsi="黑体" w:eastAsia="黑体" w:cs="楷体_GB2312"/>
        </w:rPr>
        <w:t>、乙方服务人员应当依据财税法规和专业知识独立、客观、公正地提供服务，同时尽最大努力维护甲方合法利益。乙方有权拒绝甲方提出的违反法律、法规及相关政策规定的要求。</w:t>
      </w:r>
    </w:p>
    <w:p>
      <w:pPr>
        <w:pStyle w:val="50"/>
        <w:ind w:firstLine="440"/>
        <w:rPr>
          <w:rFonts w:ascii="黑体" w:hAnsi="黑体" w:eastAsia="黑体" w:cs="楷体_GB2312"/>
        </w:rPr>
      </w:pPr>
      <w:r>
        <w:rPr>
          <w:rFonts w:ascii="黑体" w:hAnsi="黑体" w:eastAsia="黑体" w:cs="楷体_GB2312"/>
        </w:rPr>
        <w:t>3</w:t>
      </w:r>
      <w:r>
        <w:rPr>
          <w:rFonts w:hint="eastAsia" w:ascii="黑体" w:hAnsi="黑体" w:eastAsia="黑体" w:cs="楷体_GB2312"/>
        </w:rPr>
        <w:t>、乙方应遵守职业道德，严守甲方生产经营及财产等商业秘密，不得向外泄露，该保密义务应当不受时间限制而持续有效。</w:t>
      </w:r>
    </w:p>
    <w:p>
      <w:pPr>
        <w:pStyle w:val="50"/>
        <w:ind w:firstLine="440"/>
        <w:rPr>
          <w:rFonts w:ascii="黑体" w:hAnsi="黑体" w:eastAsia="黑体" w:cs="楷体_GB2312"/>
        </w:rPr>
      </w:pPr>
      <w:r>
        <w:rPr>
          <w:rFonts w:ascii="黑体" w:hAnsi="黑体" w:eastAsia="黑体" w:cs="楷体_GB2312"/>
        </w:rPr>
        <w:t>4</w:t>
      </w:r>
      <w:r>
        <w:rPr>
          <w:rFonts w:hint="eastAsia" w:ascii="黑体" w:hAnsi="黑体" w:eastAsia="黑体" w:cs="楷体_GB2312"/>
        </w:rPr>
        <w:t>、乙方对本协议服务内容应当保存完整的工作记录，对涉及甲方的原始证据、相关文件资料应当妥善保管归档。</w:t>
      </w:r>
    </w:p>
    <w:p>
      <w:pPr>
        <w:pStyle w:val="50"/>
        <w:ind w:firstLine="442"/>
        <w:rPr>
          <w:rFonts w:ascii="黑体" w:hAnsi="黑体" w:eastAsia="黑体" w:cs="楷体_GB2312"/>
          <w:b/>
        </w:rPr>
      </w:pPr>
      <w:r>
        <w:rPr>
          <w:rFonts w:hint="eastAsia" w:ascii="黑体" w:hAnsi="黑体" w:eastAsia="黑体" w:cs="楷体_GB2312"/>
          <w:b/>
        </w:rPr>
        <w:t>六、咨询服务费与支付方式</w:t>
      </w:r>
    </w:p>
    <w:p>
      <w:pPr>
        <w:pStyle w:val="50"/>
        <w:ind w:firstLine="440"/>
        <w:rPr>
          <w:rFonts w:ascii="黑体" w:hAnsi="黑体" w:eastAsia="黑体" w:cs="楷体_GB2312"/>
        </w:rPr>
      </w:pPr>
      <w:r>
        <w:rPr>
          <w:rFonts w:ascii="黑体" w:hAnsi="黑体" w:eastAsia="黑体" w:cs="楷体_GB2312"/>
        </w:rPr>
        <w:t>1</w:t>
      </w:r>
      <w:r>
        <w:rPr>
          <w:rFonts w:hint="eastAsia" w:ascii="黑体" w:hAnsi="黑体" w:eastAsia="黑体" w:cs="楷体_GB2312"/>
        </w:rPr>
        <w:t>、甲方向乙方支付年税务服务费共计人民币</w:t>
      </w:r>
      <w:r>
        <w:rPr>
          <w:rFonts w:hint="eastAsia" w:ascii="黑体" w:hAnsi="黑体" w:eastAsia="黑体" w:cs="楷体_GB2312"/>
          <w:u w:val="single"/>
          <w:lang w:val="en-US" w:eastAsia="zh-CN"/>
        </w:rPr>
        <w:t>含税价</w:t>
      </w:r>
      <w:r>
        <w:rPr>
          <w:rFonts w:hint="eastAsia" w:ascii="黑体" w:hAnsi="黑体" w:eastAsia="黑体" w:cs="楷体_GB2312"/>
          <w:u w:val="single"/>
        </w:rPr>
        <w:t xml:space="preserve">   </w:t>
      </w:r>
      <w:r>
        <w:rPr>
          <w:rFonts w:hint="eastAsia" w:ascii="黑体" w:hAnsi="黑体" w:eastAsia="黑体" w:cs="楷体_GB2312"/>
          <w:u w:val="single"/>
          <w:lang w:val="en-US" w:eastAsia="zh-CN"/>
        </w:rPr>
        <w:t xml:space="preserve">   </w:t>
      </w:r>
      <w:r>
        <w:rPr>
          <w:rFonts w:hint="eastAsia" w:ascii="黑体" w:hAnsi="黑体" w:eastAsia="黑体" w:cs="楷体_GB2312"/>
          <w:u w:val="single"/>
        </w:rPr>
        <w:t xml:space="preserve"> 整（小写：￥     ）</w:t>
      </w:r>
      <w:r>
        <w:rPr>
          <w:rFonts w:hint="eastAsia" w:ascii="黑体" w:hAnsi="黑体" w:eastAsia="黑体" w:cs="楷体_GB2312"/>
          <w:u w:val="single"/>
          <w:lang w:eastAsia="zh-CN"/>
        </w:rPr>
        <w:t>，</w:t>
      </w:r>
      <w:r>
        <w:rPr>
          <w:rFonts w:hint="eastAsia" w:ascii="黑体" w:hAnsi="黑体" w:eastAsia="黑体" w:cs="楷体_GB2312"/>
          <w:u w:val="single"/>
          <w:lang w:val="en-US" w:eastAsia="zh-CN"/>
        </w:rPr>
        <w:t xml:space="preserve">不含税价        </w:t>
      </w:r>
      <w:r>
        <w:rPr>
          <w:rFonts w:hint="eastAsia" w:ascii="黑体" w:hAnsi="黑体" w:eastAsia="黑体" w:cs="楷体_GB2312"/>
          <w:u w:val="single"/>
        </w:rPr>
        <w:t>整（小写：￥     ）</w:t>
      </w:r>
      <w:r>
        <w:rPr>
          <w:rFonts w:hint="eastAsia" w:ascii="黑体" w:hAnsi="黑体" w:eastAsia="黑体" w:cs="楷体_GB2312"/>
          <w:u w:val="single"/>
          <w:lang w:eastAsia="zh-CN"/>
        </w:rPr>
        <w:t>，</w:t>
      </w:r>
      <w:r>
        <w:rPr>
          <w:rFonts w:hint="eastAsia" w:ascii="黑体" w:hAnsi="黑体" w:eastAsia="黑体" w:cs="楷体_GB2312"/>
          <w:u w:val="single"/>
          <w:lang w:val="en-US" w:eastAsia="zh-CN"/>
        </w:rPr>
        <w:t>税率     %</w:t>
      </w:r>
      <w:r>
        <w:rPr>
          <w:rFonts w:hint="eastAsia" w:ascii="黑体" w:hAnsi="黑体" w:eastAsia="黑体" w:cs="楷体_GB2312"/>
          <w:u w:val="single"/>
        </w:rPr>
        <w:t>；</w:t>
      </w:r>
    </w:p>
    <w:p>
      <w:pPr>
        <w:pStyle w:val="50"/>
        <w:ind w:firstLine="440"/>
        <w:rPr>
          <w:rFonts w:ascii="黑体" w:hAnsi="黑体" w:eastAsia="黑体" w:cs="楷体_GB2312"/>
        </w:rPr>
      </w:pPr>
      <w:r>
        <w:rPr>
          <w:rFonts w:hint="eastAsia" w:ascii="黑体" w:hAnsi="黑体" w:eastAsia="黑体" w:cs="楷体_GB2312"/>
        </w:rPr>
        <w:t>2、上述费用自本协议签订之日起3日内甲方向乙方支付50%人民币（大写）    元 （¥    )。剩余部分在服务期满前7日内支付人民币（大写）     元 （¥     )。甲方支付前，乙方向甲方提供合法</w:t>
      </w:r>
      <w:r>
        <w:rPr>
          <w:rFonts w:hint="eastAsia" w:ascii="黑体" w:hAnsi="黑体" w:eastAsia="黑体" w:cs="楷体_GB2312"/>
          <w:lang w:val="en-US" w:eastAsia="zh-CN"/>
        </w:rPr>
        <w:t>等额</w:t>
      </w:r>
      <w:r>
        <w:rPr>
          <w:rFonts w:hint="eastAsia" w:ascii="黑体" w:hAnsi="黑体" w:eastAsia="黑体" w:cs="楷体_GB2312"/>
        </w:rPr>
        <w:t>的增值税</w:t>
      </w:r>
      <w:r>
        <w:rPr>
          <w:rFonts w:hint="eastAsia" w:ascii="黑体" w:hAnsi="黑体" w:eastAsia="黑体" w:cs="楷体_GB2312"/>
          <w:lang w:val="en-US" w:eastAsia="zh-CN"/>
        </w:rPr>
        <w:t>专用</w:t>
      </w:r>
      <w:r>
        <w:rPr>
          <w:rFonts w:hint="eastAsia" w:ascii="黑体" w:hAnsi="黑体" w:eastAsia="黑体" w:cs="楷体_GB2312"/>
        </w:rPr>
        <w:t>发票</w:t>
      </w:r>
      <w:r>
        <w:rPr>
          <w:rFonts w:hint="eastAsia" w:ascii="黑体" w:hAnsi="黑体" w:eastAsia="黑体" w:cs="楷体_GB2312"/>
          <w:lang w:val="en-US" w:eastAsia="zh-CN"/>
        </w:rPr>
        <w:t>。</w:t>
      </w:r>
    </w:p>
    <w:p>
      <w:pPr>
        <w:pStyle w:val="50"/>
        <w:ind w:firstLine="440"/>
        <w:rPr>
          <w:rFonts w:ascii="黑体" w:hAnsi="黑体" w:eastAsia="黑体" w:cs="楷体_GB2312"/>
        </w:rPr>
      </w:pPr>
      <w:r>
        <w:rPr>
          <w:rFonts w:hint="eastAsia" w:ascii="黑体" w:hAnsi="黑体" w:eastAsia="黑体" w:cs="楷体_GB2312"/>
        </w:rPr>
        <w:t>3、上述费用转入以下指定账户</w:t>
      </w:r>
    </w:p>
    <w:p>
      <w:pPr>
        <w:pStyle w:val="50"/>
        <w:ind w:firstLine="440"/>
        <w:rPr>
          <w:rFonts w:ascii="黑体" w:hAnsi="黑体" w:eastAsia="黑体" w:cs="楷体_GB2312"/>
        </w:rPr>
      </w:pPr>
      <w:r>
        <w:rPr>
          <w:rFonts w:hint="eastAsia" w:ascii="黑体" w:hAnsi="黑体" w:eastAsia="黑体" w:cs="楷体_GB2312"/>
        </w:rPr>
        <w:t>收款单位：</w:t>
      </w:r>
    </w:p>
    <w:p>
      <w:pPr>
        <w:pStyle w:val="50"/>
        <w:ind w:firstLine="440"/>
        <w:rPr>
          <w:rFonts w:ascii="黑体" w:hAnsi="黑体" w:eastAsia="黑体" w:cs="楷体_GB2312"/>
        </w:rPr>
      </w:pPr>
      <w:r>
        <w:rPr>
          <w:rFonts w:hint="eastAsia" w:ascii="黑体" w:hAnsi="黑体" w:eastAsia="黑体" w:cs="楷体_GB2312"/>
        </w:rPr>
        <w:t>开 户 行：</w:t>
      </w:r>
    </w:p>
    <w:p>
      <w:pPr>
        <w:pStyle w:val="50"/>
        <w:ind w:firstLine="440"/>
        <w:rPr>
          <w:rFonts w:ascii="黑体" w:hAnsi="黑体" w:eastAsia="黑体" w:cs="楷体_GB2312"/>
        </w:rPr>
      </w:pPr>
      <w:r>
        <w:rPr>
          <w:rFonts w:hint="eastAsia" w:ascii="黑体" w:hAnsi="黑体" w:eastAsia="黑体" w:cs="楷体_GB2312"/>
        </w:rPr>
        <w:t>帐    号：</w:t>
      </w:r>
    </w:p>
    <w:p>
      <w:pPr>
        <w:pStyle w:val="50"/>
        <w:ind w:firstLine="442"/>
        <w:rPr>
          <w:rFonts w:ascii="黑体" w:hAnsi="黑体" w:eastAsia="黑体" w:cs="楷体_GB2312"/>
          <w:b/>
        </w:rPr>
      </w:pPr>
      <w:r>
        <w:rPr>
          <w:rFonts w:hint="eastAsia" w:ascii="黑体" w:hAnsi="黑体" w:eastAsia="黑体" w:cs="楷体_GB2312"/>
          <w:b/>
        </w:rPr>
        <w:t>七、协议期限</w:t>
      </w:r>
    </w:p>
    <w:p>
      <w:pPr>
        <w:pStyle w:val="50"/>
        <w:ind w:firstLine="440"/>
        <w:rPr>
          <w:rFonts w:ascii="黑体" w:hAnsi="黑体" w:eastAsia="黑体" w:cs="楷体_GB2312"/>
        </w:rPr>
      </w:pPr>
      <w:r>
        <w:rPr>
          <w:rFonts w:hint="eastAsia" w:ascii="黑体" w:hAnsi="黑体" w:eastAsia="黑体" w:cs="楷体_GB2312"/>
        </w:rPr>
        <w:t>本协议约定服务期限为    年    月    日至    年    月    日。本协议到期后，甲乙双方对服务无异议，则本合同期限自动顺延。</w:t>
      </w:r>
    </w:p>
    <w:p>
      <w:pPr>
        <w:pStyle w:val="50"/>
        <w:ind w:firstLine="442"/>
        <w:rPr>
          <w:rFonts w:ascii="黑体" w:hAnsi="黑体" w:eastAsia="黑体" w:cs="楷体_GB2312"/>
          <w:b/>
        </w:rPr>
      </w:pPr>
      <w:r>
        <w:rPr>
          <w:rFonts w:hint="eastAsia" w:ascii="黑体" w:hAnsi="黑体" w:eastAsia="黑体" w:cs="楷体_GB2312"/>
          <w:b/>
        </w:rPr>
        <w:t>八、违约责任</w:t>
      </w:r>
    </w:p>
    <w:p>
      <w:pPr>
        <w:pStyle w:val="50"/>
        <w:ind w:firstLine="440"/>
        <w:rPr>
          <w:rFonts w:ascii="黑体" w:hAnsi="黑体" w:eastAsia="黑体" w:cs="楷体_GB2312"/>
        </w:rPr>
      </w:pPr>
      <w:r>
        <w:rPr>
          <w:rFonts w:ascii="黑体" w:hAnsi="黑体" w:eastAsia="黑体" w:cs="楷体_GB2312"/>
        </w:rPr>
        <w:t>1</w:t>
      </w:r>
      <w:r>
        <w:rPr>
          <w:rFonts w:hint="eastAsia" w:ascii="黑体" w:hAnsi="黑体" w:eastAsia="黑体" w:cs="楷体_GB2312"/>
        </w:rPr>
        <w:t>、甲乙双方不得无故终止本协议，如甲方无故终止履行协议，乙方已收的费用不予退还，如乙方无故终止履行协议，乙方已收的费用全部退还甲方。</w:t>
      </w:r>
    </w:p>
    <w:p>
      <w:pPr>
        <w:pStyle w:val="50"/>
        <w:ind w:firstLine="440"/>
        <w:rPr>
          <w:rFonts w:ascii="黑体" w:hAnsi="黑体" w:eastAsia="黑体" w:cs="楷体_GB2312"/>
        </w:rPr>
      </w:pPr>
      <w:r>
        <w:rPr>
          <w:rFonts w:ascii="黑体" w:hAnsi="黑体" w:eastAsia="黑体" w:cs="楷体_GB2312"/>
        </w:rPr>
        <w:t>2</w:t>
      </w:r>
      <w:r>
        <w:rPr>
          <w:rFonts w:hint="eastAsia" w:ascii="黑体" w:hAnsi="黑体" w:eastAsia="黑体" w:cs="楷体_GB2312"/>
        </w:rPr>
        <w:t>、除上述违约外，任意一方有其它违约的，双方应本着“互利互让、友好协商”解决，协商不成的可向当地人民法院提起诉讼。</w:t>
      </w:r>
    </w:p>
    <w:p>
      <w:pPr>
        <w:pStyle w:val="50"/>
        <w:ind w:firstLine="442"/>
        <w:rPr>
          <w:rFonts w:ascii="黑体" w:hAnsi="黑体" w:eastAsia="黑体" w:cs="楷体_GB2312"/>
          <w:b/>
        </w:rPr>
      </w:pPr>
      <w:r>
        <w:rPr>
          <w:rFonts w:hint="eastAsia" w:ascii="黑体" w:hAnsi="黑体" w:eastAsia="黑体" w:cs="楷体_GB2312"/>
          <w:b/>
        </w:rPr>
        <w:t>九、其他事项</w:t>
      </w:r>
    </w:p>
    <w:p>
      <w:pPr>
        <w:pStyle w:val="50"/>
        <w:ind w:firstLine="440"/>
        <w:rPr>
          <w:rFonts w:ascii="黑体" w:hAnsi="黑体" w:eastAsia="黑体" w:cs="楷体_GB2312"/>
        </w:rPr>
      </w:pPr>
      <w:r>
        <w:rPr>
          <w:rFonts w:ascii="黑体" w:hAnsi="黑体" w:eastAsia="黑体" w:cs="楷体_GB2312"/>
        </w:rPr>
        <w:t>1</w:t>
      </w:r>
      <w:r>
        <w:rPr>
          <w:rFonts w:hint="eastAsia" w:ascii="黑体" w:hAnsi="黑体" w:eastAsia="黑体" w:cs="楷体_GB2312"/>
        </w:rPr>
        <w:t>、双方未尽事宜另签补充协议，补充协议与本协议具有同等法律效力。</w:t>
      </w:r>
    </w:p>
    <w:p>
      <w:pPr>
        <w:pStyle w:val="50"/>
        <w:ind w:firstLine="440"/>
        <w:rPr>
          <w:rFonts w:ascii="黑体" w:hAnsi="黑体" w:eastAsia="黑体" w:cs="楷体_GB2312"/>
        </w:rPr>
      </w:pPr>
      <w:r>
        <w:rPr>
          <w:rFonts w:ascii="黑体" w:hAnsi="黑体" w:eastAsia="黑体" w:cs="楷体_GB2312"/>
        </w:rPr>
        <w:t>2</w:t>
      </w:r>
      <w:r>
        <w:rPr>
          <w:rFonts w:hint="eastAsia" w:ascii="黑体" w:hAnsi="黑体" w:eastAsia="黑体" w:cs="楷体_GB2312"/>
        </w:rPr>
        <w:t>、乙方可在业务宣传资料中提及甲方的名称及相关服务类别，但不得涉及双方已约定的保密事项及业务。</w:t>
      </w:r>
    </w:p>
    <w:p>
      <w:pPr>
        <w:pStyle w:val="50"/>
        <w:ind w:firstLine="440"/>
        <w:rPr>
          <w:rFonts w:ascii="黑体" w:hAnsi="黑体" w:eastAsia="黑体" w:cs="楷体_GB2312"/>
        </w:rPr>
      </w:pPr>
      <w:r>
        <w:rPr>
          <w:rFonts w:ascii="黑体" w:hAnsi="黑体" w:eastAsia="黑体" w:cs="楷体_GB2312"/>
        </w:rPr>
        <w:t>3</w:t>
      </w:r>
      <w:r>
        <w:rPr>
          <w:rFonts w:hint="eastAsia" w:ascii="黑体" w:hAnsi="黑体" w:eastAsia="黑体" w:cs="楷体_GB2312"/>
        </w:rPr>
        <w:t>、本合同一式</w:t>
      </w:r>
      <w:r>
        <w:rPr>
          <w:rFonts w:hint="eastAsia" w:ascii="黑体" w:hAnsi="黑体" w:eastAsia="黑体" w:cs="楷体_GB2312"/>
          <w:lang w:val="en-US" w:eastAsia="zh-CN"/>
        </w:rPr>
        <w:t>陆</w:t>
      </w:r>
      <w:r>
        <w:rPr>
          <w:rFonts w:hint="eastAsia" w:ascii="黑体" w:hAnsi="黑体" w:eastAsia="黑体" w:cs="楷体_GB2312"/>
        </w:rPr>
        <w:t>份，甲、乙双方各执</w:t>
      </w:r>
      <w:r>
        <w:rPr>
          <w:rFonts w:hint="eastAsia" w:ascii="黑体" w:hAnsi="黑体" w:eastAsia="黑体" w:cs="楷体_GB2312"/>
          <w:lang w:val="en-US" w:eastAsia="zh-CN"/>
        </w:rPr>
        <w:t>叁</w:t>
      </w:r>
      <w:r>
        <w:rPr>
          <w:rFonts w:hint="eastAsia" w:ascii="黑体" w:hAnsi="黑体" w:eastAsia="黑体" w:cs="楷体_GB2312"/>
        </w:rPr>
        <w:t>份，具有同等法律效力。</w:t>
      </w:r>
    </w:p>
    <w:p>
      <w:pPr>
        <w:pStyle w:val="50"/>
        <w:ind w:firstLine="440"/>
        <w:rPr>
          <w:rFonts w:ascii="黑体" w:hAnsi="黑体" w:eastAsia="黑体" w:cs="楷体_GB2312"/>
        </w:rPr>
      </w:pPr>
      <w:r>
        <w:rPr>
          <w:rFonts w:ascii="黑体" w:hAnsi="黑体" w:eastAsia="黑体" w:cs="楷体_GB2312"/>
        </w:rPr>
        <w:t>4</w:t>
      </w:r>
      <w:r>
        <w:rPr>
          <w:rFonts w:hint="eastAsia" w:ascii="黑体" w:hAnsi="黑体" w:eastAsia="黑体" w:cs="楷体_GB2312"/>
        </w:rPr>
        <w:t>、本合同自甲乙双方签字、盖章后生效，双方签署时间不一致的以甲方签约时间为准。</w:t>
      </w:r>
    </w:p>
    <w:p>
      <w:pPr>
        <w:pStyle w:val="50"/>
        <w:ind w:firstLine="440"/>
        <w:rPr>
          <w:rFonts w:ascii="黑体" w:hAnsi="黑体" w:eastAsia="黑体" w:cs="楷体_GB2312"/>
        </w:rPr>
      </w:pPr>
    </w:p>
    <w:p>
      <w:pPr>
        <w:pStyle w:val="50"/>
        <w:ind w:firstLine="440"/>
        <w:rPr>
          <w:rFonts w:ascii="黑体" w:hAnsi="黑体" w:eastAsia="黑体" w:cs="楷体_GB2312"/>
        </w:rPr>
      </w:pPr>
    </w:p>
    <w:p>
      <w:pPr>
        <w:pStyle w:val="50"/>
        <w:ind w:firstLine="440"/>
        <w:rPr>
          <w:rFonts w:ascii="黑体" w:hAnsi="黑体" w:eastAsia="黑体" w:cs="楷体_GB2312"/>
        </w:rPr>
      </w:pPr>
    </w:p>
    <w:p>
      <w:pPr>
        <w:pStyle w:val="50"/>
        <w:ind w:firstLine="440"/>
        <w:rPr>
          <w:rFonts w:ascii="黑体" w:hAnsi="黑体" w:eastAsia="黑体" w:cs="楷体_GB2312"/>
        </w:rPr>
      </w:pPr>
    </w:p>
    <w:p>
      <w:pPr>
        <w:pStyle w:val="50"/>
        <w:ind w:firstLine="440"/>
        <w:rPr>
          <w:rFonts w:ascii="黑体" w:hAnsi="黑体" w:eastAsia="黑体" w:cs="楷体_GB2312"/>
        </w:rPr>
      </w:pPr>
      <w:r>
        <w:rPr>
          <w:rFonts w:hint="eastAsia" w:ascii="黑体" w:hAnsi="黑体" w:eastAsia="黑体" w:cs="楷体_GB2312"/>
        </w:rPr>
        <w:t>甲方：（公章）                         乙方：(公章)</w:t>
      </w:r>
    </w:p>
    <w:p>
      <w:pPr>
        <w:pStyle w:val="50"/>
        <w:ind w:firstLine="440"/>
        <w:rPr>
          <w:rFonts w:ascii="黑体" w:hAnsi="黑体" w:eastAsia="黑体" w:cs="楷体_GB2312"/>
        </w:rPr>
      </w:pPr>
      <w:r>
        <w:rPr>
          <w:rFonts w:hint="eastAsia" w:ascii="黑体" w:hAnsi="黑体" w:eastAsia="黑体" w:cs="楷体_GB2312"/>
        </w:rPr>
        <w:t>签约代表：　　　　　　　　　　　　　　签约代表：　（签字）</w:t>
      </w:r>
    </w:p>
    <w:p>
      <w:pPr>
        <w:pStyle w:val="50"/>
        <w:ind w:firstLine="440"/>
        <w:rPr>
          <w:rFonts w:ascii="黑体" w:hAnsi="黑体" w:eastAsia="黑体" w:cs="楷体_GB2312"/>
        </w:rPr>
      </w:pPr>
    </w:p>
    <w:p>
      <w:pPr>
        <w:ind w:firstLine="440" w:firstLineChars="200"/>
        <w:rPr>
          <w:rFonts w:ascii="黑体" w:hAnsi="黑体" w:eastAsia="黑体"/>
        </w:rPr>
      </w:pPr>
      <w:r>
        <w:rPr>
          <w:rFonts w:hint="eastAsia" w:ascii="黑体" w:hAnsi="黑体" w:eastAsia="黑体" w:cs="楷体_GB2312"/>
        </w:rPr>
        <w:t>签署日期：                            签约地</w:t>
      </w:r>
      <w:r>
        <w:rPr>
          <w:rFonts w:hint="eastAsia" w:ascii="黑体" w:hAnsi="黑体" w:eastAsia="黑体"/>
        </w:rPr>
        <w:t>址：</w:t>
      </w:r>
    </w:p>
    <w:p>
      <w:pPr>
        <w:ind w:firstLine="440" w:firstLineChars="200"/>
        <w:rPr>
          <w:rFonts w:ascii="黑体" w:hAnsi="黑体" w:eastAsia="黑体" w:cs="楷体_GB2312"/>
        </w:rPr>
      </w:pPr>
    </w:p>
    <w:p>
      <w:pPr>
        <w:spacing w:after="0" w:line="500" w:lineRule="exact"/>
        <w:jc w:val="both"/>
        <w:rPr>
          <w:rFonts w:ascii="仿宋_GB2312" w:hAnsi="仿宋_GB2312" w:eastAsia="仿宋_GB2312" w:cs="仿宋_GB2312"/>
          <w:b/>
          <w:sz w:val="36"/>
        </w:rPr>
      </w:pPr>
    </w:p>
    <w:p>
      <w:pPr>
        <w:spacing w:after="0" w:line="500" w:lineRule="exact"/>
        <w:jc w:val="center"/>
        <w:rPr>
          <w:rFonts w:ascii="仿宋_GB2312" w:hAnsi="仿宋_GB2312" w:eastAsia="仿宋_GB2312" w:cs="仿宋_GB2312"/>
          <w:b/>
          <w:sz w:val="36"/>
        </w:rPr>
      </w:pPr>
      <w:r>
        <w:rPr>
          <w:rFonts w:hint="eastAsia" w:ascii="仿宋_GB2312" w:hAnsi="仿宋_GB2312" w:eastAsia="仿宋_GB2312" w:cs="仿宋_GB2312"/>
          <w:b/>
          <w:sz w:val="36"/>
        </w:rPr>
        <w:t>保</w:t>
      </w:r>
      <w:r>
        <w:rPr>
          <w:rFonts w:ascii="仿宋_GB2312" w:hAnsi="仿宋_GB2312" w:eastAsia="仿宋_GB2312" w:cs="仿宋_GB2312"/>
          <w:b/>
          <w:sz w:val="36"/>
        </w:rPr>
        <w:t xml:space="preserve"> </w:t>
      </w:r>
      <w:r>
        <w:rPr>
          <w:rFonts w:hint="eastAsia" w:ascii="仿宋_GB2312" w:hAnsi="仿宋_GB2312" w:eastAsia="仿宋_GB2312" w:cs="仿宋_GB2312"/>
          <w:b/>
          <w:sz w:val="36"/>
        </w:rPr>
        <w:t>密</w:t>
      </w:r>
      <w:r>
        <w:rPr>
          <w:rFonts w:ascii="仿宋_GB2312" w:hAnsi="仿宋_GB2312" w:eastAsia="仿宋_GB2312" w:cs="仿宋_GB2312"/>
          <w:b/>
          <w:sz w:val="36"/>
        </w:rPr>
        <w:t xml:space="preserve"> </w:t>
      </w:r>
      <w:r>
        <w:rPr>
          <w:rFonts w:hint="eastAsia" w:ascii="仿宋_GB2312" w:hAnsi="仿宋_GB2312" w:eastAsia="仿宋_GB2312" w:cs="仿宋_GB2312"/>
          <w:b/>
          <w:sz w:val="36"/>
        </w:rPr>
        <w:t>协</w:t>
      </w:r>
      <w:r>
        <w:rPr>
          <w:rFonts w:ascii="仿宋_GB2312" w:hAnsi="仿宋_GB2312" w:eastAsia="仿宋_GB2312" w:cs="仿宋_GB2312"/>
          <w:b/>
          <w:sz w:val="36"/>
        </w:rPr>
        <w:t xml:space="preserve"> </w:t>
      </w:r>
      <w:r>
        <w:rPr>
          <w:rFonts w:hint="eastAsia" w:ascii="仿宋_GB2312" w:hAnsi="仿宋_GB2312" w:eastAsia="仿宋_GB2312" w:cs="仿宋_GB2312"/>
          <w:b/>
          <w:sz w:val="36"/>
        </w:rPr>
        <w:t>议</w:t>
      </w:r>
    </w:p>
    <w:p>
      <w:pPr>
        <w:spacing w:after="0" w:line="500" w:lineRule="exact"/>
        <w:rPr>
          <w:rFonts w:ascii="仿宋_GB2312" w:hAnsi="仿宋_GB2312" w:eastAsia="仿宋_GB2312" w:cs="仿宋_GB2312"/>
          <w:sz w:val="28"/>
          <w:szCs w:val="28"/>
        </w:rPr>
      </w:pPr>
      <w:r>
        <w:rPr>
          <w:rFonts w:hint="eastAsia" w:ascii="仿宋_GB2312" w:hAnsi="仿宋_GB2312" w:eastAsia="仿宋_GB2312" w:cs="仿宋_GB2312"/>
          <w:b/>
          <w:bCs/>
          <w:sz w:val="28"/>
          <w:szCs w:val="28"/>
        </w:rPr>
        <w:t>甲方</w:t>
      </w:r>
      <w:r>
        <w:rPr>
          <w:rFonts w:hint="eastAsia" w:ascii="仿宋_GB2312" w:hAnsi="仿宋_GB2312" w:eastAsia="仿宋_GB2312" w:cs="仿宋_GB2312"/>
          <w:sz w:val="28"/>
          <w:szCs w:val="28"/>
        </w:rPr>
        <w:t>：四川蜀道铁路运营管理集团有限责任公司</w:t>
      </w:r>
    </w:p>
    <w:p>
      <w:pPr>
        <w:spacing w:after="0" w:line="500" w:lineRule="exact"/>
        <w:rPr>
          <w:rFonts w:ascii="仿宋_GB2312" w:hAnsi="仿宋_GB2312" w:eastAsia="仿宋_GB2312" w:cs="仿宋_GB2312"/>
          <w:sz w:val="28"/>
          <w:szCs w:val="28"/>
        </w:rPr>
      </w:pPr>
      <w:r>
        <w:rPr>
          <w:rFonts w:hint="eastAsia" w:ascii="仿宋_GB2312" w:hAnsi="仿宋_GB2312" w:eastAsia="仿宋_GB2312" w:cs="仿宋_GB2312"/>
          <w:b/>
          <w:bCs/>
          <w:sz w:val="28"/>
          <w:szCs w:val="28"/>
        </w:rPr>
        <w:t>法定代表人</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 xml:space="preserve"> </w:t>
      </w:r>
    </w:p>
    <w:p>
      <w:pPr>
        <w:spacing w:after="0" w:line="500" w:lineRule="exact"/>
        <w:rPr>
          <w:rFonts w:ascii="仿宋_GB2312" w:hAnsi="仿宋_GB2312" w:eastAsia="仿宋_GB2312" w:cs="仿宋_GB2312"/>
          <w:b/>
          <w:bCs/>
          <w:sz w:val="28"/>
          <w:szCs w:val="28"/>
        </w:rPr>
      </w:pPr>
    </w:p>
    <w:p>
      <w:pPr>
        <w:spacing w:after="0" w:line="500" w:lineRule="exact"/>
        <w:rPr>
          <w:rFonts w:ascii="仿宋_GB2312" w:hAnsi="仿宋_GB2312" w:eastAsia="仿宋_GB2312" w:cs="仿宋_GB2312"/>
          <w:sz w:val="28"/>
          <w:szCs w:val="28"/>
        </w:rPr>
      </w:pPr>
      <w:r>
        <w:rPr>
          <w:rFonts w:hint="eastAsia" w:ascii="仿宋_GB2312" w:hAnsi="仿宋_GB2312" w:eastAsia="仿宋_GB2312" w:cs="仿宋_GB2312"/>
          <w:b/>
          <w:bCs/>
          <w:sz w:val="28"/>
          <w:szCs w:val="28"/>
        </w:rPr>
        <w:t>乙方</w:t>
      </w:r>
      <w:r>
        <w:rPr>
          <w:rFonts w:hint="eastAsia" w:ascii="仿宋_GB2312" w:hAnsi="仿宋_GB2312" w:eastAsia="仿宋_GB2312" w:cs="仿宋_GB2312"/>
          <w:sz w:val="28"/>
          <w:szCs w:val="28"/>
        </w:rPr>
        <w:t>：</w:t>
      </w:r>
    </w:p>
    <w:p>
      <w:pPr>
        <w:spacing w:after="0" w:line="500" w:lineRule="exact"/>
        <w:rPr>
          <w:rFonts w:ascii="仿宋_GB2312" w:hAnsi="仿宋_GB2312" w:eastAsia="仿宋_GB2312" w:cs="仿宋_GB2312"/>
          <w:sz w:val="28"/>
          <w:szCs w:val="28"/>
        </w:rPr>
      </w:pPr>
      <w:r>
        <w:rPr>
          <w:rFonts w:hint="eastAsia" w:ascii="仿宋_GB2312" w:hAnsi="仿宋_GB2312" w:eastAsia="仿宋_GB2312" w:cs="仿宋_GB2312"/>
          <w:b/>
          <w:bCs/>
          <w:sz w:val="28"/>
          <w:szCs w:val="28"/>
        </w:rPr>
        <w:t>法定代表人</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 xml:space="preserve"> </w:t>
      </w:r>
    </w:p>
    <w:p>
      <w:pPr>
        <w:spacing w:after="0" w:line="500" w:lineRule="exact"/>
        <w:rPr>
          <w:rFonts w:ascii="仿宋_GB2312" w:hAnsi="仿宋_GB2312" w:eastAsia="仿宋_GB2312" w:cs="仿宋_GB2312"/>
          <w:sz w:val="28"/>
          <w:szCs w:val="28"/>
        </w:rPr>
      </w:pPr>
    </w:p>
    <w:p>
      <w:pPr>
        <w:spacing w:after="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w:t>
      </w:r>
    </w:p>
    <w:p>
      <w:pPr>
        <w:spacing w:after="0"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1、甲方因日常经营管理需要，聘请乙方为甲方提供</w:t>
      </w:r>
      <w:r>
        <w:rPr>
          <w:rFonts w:hint="eastAsia" w:ascii="仿宋_GB2312" w:hAnsi="仿宋_GB2312" w:eastAsia="仿宋_GB2312" w:cs="仿宋_GB2312"/>
          <w:sz w:val="28"/>
          <w:szCs w:val="28"/>
        </w:rPr>
        <w:t>税务</w:t>
      </w:r>
      <w:r>
        <w:rPr>
          <w:rFonts w:ascii="仿宋_GB2312" w:hAnsi="仿宋_GB2312" w:eastAsia="仿宋_GB2312" w:cs="仿宋_GB2312"/>
          <w:sz w:val="28"/>
          <w:szCs w:val="28"/>
        </w:rPr>
        <w:t>顾问服务，并与乙方签署常年</w:t>
      </w:r>
      <w:r>
        <w:rPr>
          <w:rFonts w:hint="eastAsia" w:ascii="仿宋_GB2312" w:hAnsi="仿宋_GB2312" w:eastAsia="仿宋_GB2312" w:cs="仿宋_GB2312"/>
          <w:sz w:val="28"/>
          <w:szCs w:val="28"/>
        </w:rPr>
        <w:t>税务</w:t>
      </w:r>
      <w:r>
        <w:rPr>
          <w:rFonts w:ascii="仿宋_GB2312" w:hAnsi="仿宋_GB2312" w:eastAsia="仿宋_GB2312" w:cs="仿宋_GB2312"/>
          <w:sz w:val="28"/>
          <w:szCs w:val="28"/>
        </w:rPr>
        <w:t>顾问服务合同（以下简称“顾问合同”），而在合作过程中乙方将可能会知悉甲方及甲方下属公司的各项信息和商业秘密；</w:t>
      </w:r>
    </w:p>
    <w:p>
      <w:pPr>
        <w:spacing w:after="0"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2、甲方要求乙方对在此次常年</w:t>
      </w:r>
      <w:r>
        <w:rPr>
          <w:rFonts w:hint="eastAsia" w:ascii="仿宋_GB2312" w:hAnsi="仿宋_GB2312" w:eastAsia="仿宋_GB2312" w:cs="仿宋_GB2312"/>
          <w:sz w:val="28"/>
          <w:szCs w:val="28"/>
        </w:rPr>
        <w:t>税务</w:t>
      </w:r>
      <w:r>
        <w:rPr>
          <w:rFonts w:ascii="仿宋_GB2312" w:hAnsi="仿宋_GB2312" w:eastAsia="仿宋_GB2312" w:cs="仿宋_GB2312"/>
          <w:sz w:val="28"/>
          <w:szCs w:val="28"/>
        </w:rPr>
        <w:t>顾问服务过程中所知悉的各项信息或商业秘密承担保密义务。</w:t>
      </w:r>
    </w:p>
    <w:p>
      <w:pPr>
        <w:spacing w:after="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现为了明确乙方的保密义务，甲、乙双方本着平等、自愿、公平和诚实信用的原则，依据有关法律法规，订立本保密协议。</w:t>
      </w:r>
    </w:p>
    <w:p>
      <w:pPr>
        <w:spacing w:after="0" w:line="5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一、保密范围</w:t>
      </w:r>
    </w:p>
    <w:p>
      <w:pPr>
        <w:spacing w:after="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甲、乙双方在就提供税务</w:t>
      </w:r>
      <w:r>
        <w:rPr>
          <w:rFonts w:ascii="仿宋_GB2312" w:hAnsi="仿宋_GB2312" w:eastAsia="仿宋_GB2312" w:cs="仿宋_GB2312"/>
          <w:sz w:val="28"/>
          <w:szCs w:val="28"/>
        </w:rPr>
        <w:t>顾问</w:t>
      </w:r>
      <w:r>
        <w:rPr>
          <w:rFonts w:hint="eastAsia" w:ascii="仿宋_GB2312" w:hAnsi="仿宋_GB2312" w:eastAsia="仿宋_GB2312" w:cs="仿宋_GB2312"/>
          <w:sz w:val="28"/>
          <w:szCs w:val="28"/>
        </w:rPr>
        <w:t>服务项目建立一切经济或法律关系，包括但不限于顾问、咨询、代理、专项等合作关系（简称双方合作）的过程中以及建立关系之后，乙方应对其在上述关系中所知晓的甲方的各项信息和商业秘密承担保密责任。</w:t>
      </w:r>
    </w:p>
    <w:p>
      <w:pPr>
        <w:spacing w:after="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二、保密内容</w:t>
      </w:r>
    </w:p>
    <w:p>
      <w:pPr>
        <w:spacing w:after="0" w:line="50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sz w:val="28"/>
          <w:szCs w:val="28"/>
        </w:rPr>
        <w:t>1、乙方应承担保密责任的甲方的信息和商业秘密包括但不限于以下内容：</w:t>
      </w:r>
    </w:p>
    <w:p>
      <w:pPr>
        <w:spacing w:after="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1）甲方商业秘密，即不为公众所知悉、能为甲方带来经济利益，具有实用性并经甲方采取保密措施的技术信息和经营信息。</w:t>
      </w:r>
    </w:p>
    <w:p>
      <w:pPr>
        <w:spacing w:after="0" w:line="50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2）虽不符合商业秘密构成要件，但是甲方明确提出保密要求的资料或者信息。</w:t>
      </w:r>
    </w:p>
    <w:p>
      <w:pPr>
        <w:spacing w:after="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3）与甲方有合作关系且甲方应承担保密义务的其他单位或个人的商业秘密。</w:t>
      </w:r>
    </w:p>
    <w:p>
      <w:pPr>
        <w:spacing w:after="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4）其他经甲方采取保密措施的商业秘密。</w:t>
      </w:r>
    </w:p>
    <w:p>
      <w:pPr>
        <w:spacing w:after="0"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2、以下信息不属于保密资料：</w:t>
      </w:r>
    </w:p>
    <w:p>
      <w:pPr>
        <w:spacing w:after="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1）乙方已经或将要从公开渠道获得的且已公开的与甲方有关的信息；</w:t>
      </w:r>
    </w:p>
    <w:p>
      <w:pPr>
        <w:spacing w:after="0" w:line="50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2）从第三方获得的信息，且乙方有理由相信该第三方对该等信息的拥有不是由于违反了其对其他方的保密义务的结果。</w:t>
      </w:r>
    </w:p>
    <w:p>
      <w:pPr>
        <w:spacing w:after="0" w:line="5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三、乙方保密义务</w:t>
      </w:r>
    </w:p>
    <w:p>
      <w:pPr>
        <w:spacing w:after="0"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1、不得将甲方的商业秘密用于双方合作事宜或双方未来书面协议规定之外的任何其他目的。</w:t>
      </w:r>
    </w:p>
    <w:p>
      <w:pPr>
        <w:spacing w:after="0"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2、不得向甲方公司内部不承担保密义务的任何第三人披露甲方的商业秘密。</w:t>
      </w:r>
    </w:p>
    <w:p>
      <w:pPr>
        <w:spacing w:after="0"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不得向甲方以外的其他单位或者个人披露、允许（出借、赠与、出租、转让等处分甲方商业秘密的行为皆属于“允许”）或协助其使用甲方的商业秘密也不得以任何方式在任何场所将甲方商业秘密予以公开或公布。</w:t>
      </w:r>
    </w:p>
    <w:p>
      <w:pPr>
        <w:spacing w:after="0"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4、甲方印发的有关文字资料、图纸、报表、数字等等，乙方未经甲方批准均不得向他人提供。</w:t>
      </w:r>
    </w:p>
    <w:p>
      <w:pPr>
        <w:spacing w:after="0"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5、如发现商业秘密被泄露或者自己过失泄露商业秘密，应当采取有效措施防止泄密进一步扩大，并及时向甲方报告。</w:t>
      </w:r>
    </w:p>
    <w:p>
      <w:pPr>
        <w:spacing w:after="0" w:line="500" w:lineRule="exact"/>
        <w:ind w:firstLine="560" w:firstLineChars="200"/>
        <w:rPr>
          <w:rFonts w:ascii="仿宋_GB2312" w:hAnsi="仿宋_GB2312" w:eastAsia="仿宋_GB2312" w:cs="仿宋_GB2312"/>
          <w:b/>
          <w:bCs/>
          <w:sz w:val="28"/>
          <w:szCs w:val="28"/>
        </w:rPr>
      </w:pPr>
      <w:r>
        <w:rPr>
          <w:rFonts w:ascii="仿宋_GB2312" w:hAnsi="仿宋_GB2312" w:eastAsia="仿宋_GB2312" w:cs="仿宋_GB2312"/>
          <w:sz w:val="28"/>
          <w:szCs w:val="28"/>
        </w:rPr>
        <w:t>6、若有权机关，如司法、行政机关，要求乙方披露保密资料，乙方将立即通知甲方此类要求；若乙方按上述要求必须提供保密资料，乙方将配合甲方采取合法及合理的措施，力求所提供的保密资料能得到保密的待遇。</w:t>
      </w:r>
    </w:p>
    <w:p>
      <w:pPr>
        <w:spacing w:after="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四、保密期限：自本协议签订之日起至顾问合同履行完毕后五年内，乙方仍应承担保密义务。</w:t>
      </w:r>
    </w:p>
    <w:p>
      <w:pPr>
        <w:spacing w:after="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五、甲方有权基于自身的判断决定是否为乙方提供商业秘密以及提供何种商业秘密，甲方无义务保证其提供商业秘密的正确性、可靠性、新颖性、完整性等，但甲方应保证其合法性。</w:t>
      </w:r>
      <w:r>
        <w:rPr>
          <w:rFonts w:ascii="仿宋_GB2312" w:hAnsi="仿宋_GB2312" w:eastAsia="仿宋_GB2312" w:cs="仿宋_GB2312"/>
          <w:sz w:val="28"/>
          <w:szCs w:val="28"/>
        </w:rPr>
        <w:t xml:space="preserve">                             </w:t>
      </w:r>
    </w:p>
    <w:p>
      <w:pPr>
        <w:spacing w:after="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六、乙方违反本协议约定，造成甲方实际经济损失的，甲方有权向乙方追偿。</w:t>
      </w:r>
    </w:p>
    <w:p>
      <w:pPr>
        <w:spacing w:after="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七、甲、乙双方因履行本协议而发生的任何争议，由双方协商解决，协商不成，双方均可向甲方所在地人民法院提起诉讼。</w:t>
      </w:r>
    </w:p>
    <w:p>
      <w:pPr>
        <w:spacing w:after="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八、本协议一式贰份，甲乙双方各执壹份，经双方签字盖章后生效。</w:t>
      </w:r>
    </w:p>
    <w:p>
      <w:pPr>
        <w:pStyle w:val="11"/>
        <w:ind w:left="440" w:firstLine="617"/>
        <w:rPr>
          <w:rFonts w:ascii="仿宋_GB2312" w:hAnsi="仿宋_GB2312" w:eastAsia="仿宋_GB2312" w:cs="仿宋_GB2312"/>
          <w:b/>
          <w:szCs w:val="28"/>
        </w:rPr>
      </w:pPr>
    </w:p>
    <w:p>
      <w:pPr>
        <w:spacing w:line="480" w:lineRule="auto"/>
        <w:rPr>
          <w:rFonts w:ascii="仿宋_GB2312" w:hAnsi="仿宋_GB2312" w:eastAsia="仿宋_GB2312" w:cs="仿宋_GB2312"/>
          <w:sz w:val="28"/>
          <w:szCs w:val="28"/>
        </w:rPr>
      </w:pPr>
    </w:p>
    <w:p>
      <w:pPr>
        <w:spacing w:line="48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甲方：</w:t>
      </w:r>
      <w:r>
        <w:rPr>
          <w:rFonts w:ascii="仿宋_GB2312" w:hAnsi="仿宋_GB2312" w:eastAsia="仿宋_GB2312" w:cs="仿宋_GB2312"/>
          <w:b/>
          <w:bCs/>
          <w:sz w:val="28"/>
          <w:szCs w:val="28"/>
        </w:rPr>
        <w:t xml:space="preserve">                             乙方：</w:t>
      </w:r>
    </w:p>
    <w:p>
      <w:pPr>
        <w:spacing w:line="48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法定代表人或授权代表：</w:t>
      </w:r>
      <w:r>
        <w:rPr>
          <w:rFonts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rPr>
        <w:t>法定代表人或授权代表：</w:t>
      </w:r>
    </w:p>
    <w:p>
      <w:pPr>
        <w:spacing w:line="480" w:lineRule="auto"/>
        <w:ind w:firstLine="1920"/>
        <w:rPr>
          <w:rFonts w:ascii="仿宋_GB2312" w:hAnsi="仿宋_GB2312" w:eastAsia="仿宋_GB2312" w:cs="仿宋_GB2312"/>
          <w:b/>
          <w:bCs/>
          <w:sz w:val="28"/>
          <w:szCs w:val="28"/>
        </w:rPr>
      </w:pPr>
      <w:r>
        <w:rPr>
          <w:rFonts w:ascii="仿宋_GB2312" w:hAnsi="仿宋_GB2312" w:eastAsia="仿宋_GB2312" w:cs="仿宋_GB2312"/>
          <w:b/>
          <w:bCs/>
          <w:sz w:val="28"/>
          <w:szCs w:val="28"/>
        </w:rPr>
        <w:t xml:space="preserve">     </w:t>
      </w:r>
    </w:p>
    <w:p>
      <w:pPr>
        <w:pStyle w:val="21"/>
        <w:spacing w:line="520" w:lineRule="exact"/>
        <w:ind w:left="0" w:leftChars="0" w:firstLine="0" w:firstLineChars="0"/>
        <w:jc w:val="right"/>
        <w:rPr>
          <w:rFonts w:ascii="仿宋_GB2312" w:hAnsi="仿宋_GB2312" w:eastAsia="仿宋_GB2312" w:cs="仿宋_GB2312"/>
          <w:kern w:val="0"/>
          <w:sz w:val="28"/>
          <w:szCs w:val="28"/>
        </w:rPr>
      </w:pPr>
      <w:r>
        <w:rPr>
          <w:rFonts w:ascii="仿宋_GB2312" w:hAnsi="仿宋_GB2312" w:eastAsia="仿宋_GB2312" w:cs="仿宋_GB2312"/>
          <w:b/>
          <w:bCs/>
          <w:sz w:val="28"/>
          <w:szCs w:val="28"/>
        </w:rPr>
        <w:t xml:space="preserve"> 年    月   日</w:t>
      </w:r>
    </w:p>
    <w:sectPr>
      <w:footerReference r:id="rId5" w:type="first"/>
      <w:footerReference r:id="rId4" w:type="default"/>
      <w:pgSz w:w="11906" w:h="16838"/>
      <w:pgMar w:top="2098" w:right="1474" w:bottom="1984" w:left="1587" w:header="851" w:footer="992" w:gutter="0"/>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
    <w:altName w:val="Segoe Print"/>
    <w:panose1 w:val="00000000000000000000"/>
    <w:charset w:val="00"/>
    <w:family w:val="auto"/>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7906311"/>
    </w:sdtPr>
    <w:sdtContent>
      <w:p>
        <w:pPr>
          <w:pStyle w:val="13"/>
          <w:jc w:val="center"/>
        </w:pPr>
        <w:r>
          <w:fldChar w:fldCharType="begin"/>
        </w:r>
        <w:r>
          <w:instrText xml:space="preserve">PAGE   \* MERGEFORMAT</w:instrText>
        </w:r>
        <w:r>
          <w:fldChar w:fldCharType="separate"/>
        </w:r>
        <w:r>
          <w:rPr>
            <w:lang w:val="zh-CN"/>
          </w:rPr>
          <w:t>4</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1236274"/>
    </w:sdtPr>
    <w:sdtContent>
      <w:p>
        <w:pPr>
          <w:pStyle w:val="13"/>
          <w:jc w:val="center"/>
        </w:pPr>
        <w:r>
          <w:fldChar w:fldCharType="begin"/>
        </w:r>
        <w:r>
          <w:instrText xml:space="preserve">PAGE   \* MERGEFORMAT</w:instrText>
        </w:r>
        <w:r>
          <w:fldChar w:fldCharType="separate"/>
        </w:r>
        <w:r>
          <w:rPr>
            <w:lang w:val="zh-CN"/>
          </w:rPr>
          <w:t>1</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995DE3"/>
    <w:multiLevelType w:val="singleLevel"/>
    <w:tmpl w:val="B7995DE3"/>
    <w:lvl w:ilvl="0" w:tentative="0">
      <w:start w:val="1"/>
      <w:numFmt w:val="chineseCounting"/>
      <w:suff w:val="nothing"/>
      <w:lvlText w:val="（%1）"/>
      <w:lvlJc w:val="left"/>
      <w:rPr>
        <w:rFonts w:hint="eastAsia"/>
      </w:rPr>
    </w:lvl>
  </w:abstractNum>
  <w:abstractNum w:abstractNumId="1">
    <w:nsid w:val="F7533932"/>
    <w:multiLevelType w:val="singleLevel"/>
    <w:tmpl w:val="F7533932"/>
    <w:lvl w:ilvl="0" w:tentative="0">
      <w:start w:val="1"/>
      <w:numFmt w:val="chineseCounting"/>
      <w:suff w:val="nothing"/>
      <w:lvlText w:val="%1、"/>
      <w:lvlJc w:val="left"/>
      <w:rPr>
        <w:rFonts w:hint="eastAsia"/>
        <w:b/>
        <w:bCs/>
      </w:rPr>
    </w:lvl>
  </w:abstractNum>
  <w:abstractNum w:abstractNumId="2">
    <w:nsid w:val="10314634"/>
    <w:multiLevelType w:val="singleLevel"/>
    <w:tmpl w:val="10314634"/>
    <w:lvl w:ilvl="0" w:tentative="0">
      <w:start w:val="1"/>
      <w:numFmt w:val="chineseCounting"/>
      <w:suff w:val="nothing"/>
      <w:lvlText w:val="%1、"/>
      <w:lvlJc w:val="left"/>
      <w:rPr>
        <w:rFonts w:hint="eastAsia"/>
        <w:b/>
        <w:bCs/>
      </w:rPr>
    </w:lvl>
  </w:abstractNum>
  <w:abstractNum w:abstractNumId="3">
    <w:nsid w:val="19D3F470"/>
    <w:multiLevelType w:val="singleLevel"/>
    <w:tmpl w:val="19D3F470"/>
    <w:lvl w:ilvl="0" w:tentative="0">
      <w:start w:val="1"/>
      <w:numFmt w:val="chineseCounting"/>
      <w:suff w:val="nothing"/>
      <w:lvlText w:val="%1、"/>
      <w:lvlJc w:val="left"/>
      <w:rPr>
        <w:rFonts w:hint="eastAsia"/>
        <w:b/>
        <w:bCs/>
      </w:rPr>
    </w:lvl>
  </w:abstractNum>
  <w:abstractNum w:abstractNumId="4">
    <w:nsid w:val="3FC1FC69"/>
    <w:multiLevelType w:val="singleLevel"/>
    <w:tmpl w:val="3FC1FC69"/>
    <w:lvl w:ilvl="0" w:tentative="0">
      <w:start w:val="1"/>
      <w:numFmt w:val="chineseCounting"/>
      <w:suff w:val="nothing"/>
      <w:lvlText w:val="%1、"/>
      <w:lvlJc w:val="left"/>
      <w:rPr>
        <w:rFonts w:hint="eastAsia"/>
        <w:b/>
        <w:bCs/>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DB9"/>
    <w:rsid w:val="00002DDE"/>
    <w:rsid w:val="00017EA0"/>
    <w:rsid w:val="00020BB4"/>
    <w:rsid w:val="000217AC"/>
    <w:rsid w:val="00036445"/>
    <w:rsid w:val="00037127"/>
    <w:rsid w:val="000523B0"/>
    <w:rsid w:val="00056685"/>
    <w:rsid w:val="0006168E"/>
    <w:rsid w:val="00064337"/>
    <w:rsid w:val="00087D57"/>
    <w:rsid w:val="000919FA"/>
    <w:rsid w:val="0009526C"/>
    <w:rsid w:val="00096776"/>
    <w:rsid w:val="000A7BEE"/>
    <w:rsid w:val="000B1A93"/>
    <w:rsid w:val="000B70BD"/>
    <w:rsid w:val="000B7DF1"/>
    <w:rsid w:val="000C110F"/>
    <w:rsid w:val="000C32D7"/>
    <w:rsid w:val="000C38A7"/>
    <w:rsid w:val="000D1779"/>
    <w:rsid w:val="000D7760"/>
    <w:rsid w:val="000E0DF1"/>
    <w:rsid w:val="000E280D"/>
    <w:rsid w:val="000E5DC5"/>
    <w:rsid w:val="000F57C7"/>
    <w:rsid w:val="000F589B"/>
    <w:rsid w:val="001005FA"/>
    <w:rsid w:val="001252CE"/>
    <w:rsid w:val="00127650"/>
    <w:rsid w:val="001411B9"/>
    <w:rsid w:val="00143684"/>
    <w:rsid w:val="001625B1"/>
    <w:rsid w:val="00171251"/>
    <w:rsid w:val="00172A27"/>
    <w:rsid w:val="0017461A"/>
    <w:rsid w:val="00176598"/>
    <w:rsid w:val="001970C9"/>
    <w:rsid w:val="00197745"/>
    <w:rsid w:val="001A1D51"/>
    <w:rsid w:val="001C3A17"/>
    <w:rsid w:val="001D3131"/>
    <w:rsid w:val="001E0394"/>
    <w:rsid w:val="001E1B5F"/>
    <w:rsid w:val="001E2D4E"/>
    <w:rsid w:val="001F0A63"/>
    <w:rsid w:val="00200F38"/>
    <w:rsid w:val="00211831"/>
    <w:rsid w:val="0021595C"/>
    <w:rsid w:val="00216136"/>
    <w:rsid w:val="0022062F"/>
    <w:rsid w:val="00222025"/>
    <w:rsid w:val="00224F1B"/>
    <w:rsid w:val="00230546"/>
    <w:rsid w:val="00237E73"/>
    <w:rsid w:val="0024272C"/>
    <w:rsid w:val="002460D4"/>
    <w:rsid w:val="0024765D"/>
    <w:rsid w:val="00247C59"/>
    <w:rsid w:val="002517F0"/>
    <w:rsid w:val="00257240"/>
    <w:rsid w:val="00261EC6"/>
    <w:rsid w:val="002620D7"/>
    <w:rsid w:val="0026215E"/>
    <w:rsid w:val="00275AEB"/>
    <w:rsid w:val="00281518"/>
    <w:rsid w:val="00286DE3"/>
    <w:rsid w:val="00291F5D"/>
    <w:rsid w:val="002A4452"/>
    <w:rsid w:val="002A7FB3"/>
    <w:rsid w:val="002C32C3"/>
    <w:rsid w:val="002C68D0"/>
    <w:rsid w:val="002C7466"/>
    <w:rsid w:val="002D6276"/>
    <w:rsid w:val="002D6D34"/>
    <w:rsid w:val="002D7926"/>
    <w:rsid w:val="002F044B"/>
    <w:rsid w:val="002F1576"/>
    <w:rsid w:val="002F40E7"/>
    <w:rsid w:val="002F4C0F"/>
    <w:rsid w:val="002F7E13"/>
    <w:rsid w:val="00301C7E"/>
    <w:rsid w:val="00314E0B"/>
    <w:rsid w:val="0031601E"/>
    <w:rsid w:val="00326102"/>
    <w:rsid w:val="003346AB"/>
    <w:rsid w:val="0034670D"/>
    <w:rsid w:val="00347599"/>
    <w:rsid w:val="00355D20"/>
    <w:rsid w:val="00362A47"/>
    <w:rsid w:val="00372528"/>
    <w:rsid w:val="00376897"/>
    <w:rsid w:val="00376B03"/>
    <w:rsid w:val="00380C41"/>
    <w:rsid w:val="00382927"/>
    <w:rsid w:val="00383F32"/>
    <w:rsid w:val="00386EBB"/>
    <w:rsid w:val="00387900"/>
    <w:rsid w:val="00390930"/>
    <w:rsid w:val="00395D5D"/>
    <w:rsid w:val="003A0EA0"/>
    <w:rsid w:val="003A70DD"/>
    <w:rsid w:val="003B0E6D"/>
    <w:rsid w:val="003B6CAC"/>
    <w:rsid w:val="003D3E59"/>
    <w:rsid w:val="003D4124"/>
    <w:rsid w:val="003D43FC"/>
    <w:rsid w:val="003D667F"/>
    <w:rsid w:val="003E03EF"/>
    <w:rsid w:val="003E1B42"/>
    <w:rsid w:val="003E40DC"/>
    <w:rsid w:val="003E6203"/>
    <w:rsid w:val="003F57AE"/>
    <w:rsid w:val="003F593E"/>
    <w:rsid w:val="00400169"/>
    <w:rsid w:val="00403C0B"/>
    <w:rsid w:val="00410511"/>
    <w:rsid w:val="00412A2F"/>
    <w:rsid w:val="004133A7"/>
    <w:rsid w:val="0041461F"/>
    <w:rsid w:val="00414FAA"/>
    <w:rsid w:val="0041628D"/>
    <w:rsid w:val="00420560"/>
    <w:rsid w:val="00422DFE"/>
    <w:rsid w:val="00425F22"/>
    <w:rsid w:val="00435C34"/>
    <w:rsid w:val="004401A0"/>
    <w:rsid w:val="00447A7F"/>
    <w:rsid w:val="004520E0"/>
    <w:rsid w:val="00452E86"/>
    <w:rsid w:val="004538E5"/>
    <w:rsid w:val="00466370"/>
    <w:rsid w:val="00470F2B"/>
    <w:rsid w:val="00480F2E"/>
    <w:rsid w:val="00493ADC"/>
    <w:rsid w:val="004A1EC1"/>
    <w:rsid w:val="004A3437"/>
    <w:rsid w:val="004A645E"/>
    <w:rsid w:val="004A7E69"/>
    <w:rsid w:val="004E698D"/>
    <w:rsid w:val="004F01C5"/>
    <w:rsid w:val="005019E5"/>
    <w:rsid w:val="00504388"/>
    <w:rsid w:val="00507654"/>
    <w:rsid w:val="00512850"/>
    <w:rsid w:val="005324AA"/>
    <w:rsid w:val="00556BF8"/>
    <w:rsid w:val="00562E50"/>
    <w:rsid w:val="0057165D"/>
    <w:rsid w:val="0057352C"/>
    <w:rsid w:val="00573FC9"/>
    <w:rsid w:val="00581FB0"/>
    <w:rsid w:val="00582542"/>
    <w:rsid w:val="0058563C"/>
    <w:rsid w:val="0059182D"/>
    <w:rsid w:val="005925AA"/>
    <w:rsid w:val="005942C3"/>
    <w:rsid w:val="005A149A"/>
    <w:rsid w:val="005B15FF"/>
    <w:rsid w:val="005B4663"/>
    <w:rsid w:val="005C1185"/>
    <w:rsid w:val="005D4EA7"/>
    <w:rsid w:val="005F1353"/>
    <w:rsid w:val="00601DA6"/>
    <w:rsid w:val="006068D1"/>
    <w:rsid w:val="0060695F"/>
    <w:rsid w:val="006131E7"/>
    <w:rsid w:val="0064066C"/>
    <w:rsid w:val="006544A0"/>
    <w:rsid w:val="0066134B"/>
    <w:rsid w:val="006656D8"/>
    <w:rsid w:val="00683E27"/>
    <w:rsid w:val="00685699"/>
    <w:rsid w:val="006A30DB"/>
    <w:rsid w:val="006A35AD"/>
    <w:rsid w:val="006A4462"/>
    <w:rsid w:val="006C346A"/>
    <w:rsid w:val="006C4682"/>
    <w:rsid w:val="006D4A73"/>
    <w:rsid w:val="006E0C1B"/>
    <w:rsid w:val="006E4259"/>
    <w:rsid w:val="006F47F3"/>
    <w:rsid w:val="006F598A"/>
    <w:rsid w:val="0070086F"/>
    <w:rsid w:val="00700FDA"/>
    <w:rsid w:val="00702443"/>
    <w:rsid w:val="00716EB3"/>
    <w:rsid w:val="007176C8"/>
    <w:rsid w:val="007239B7"/>
    <w:rsid w:val="007368B8"/>
    <w:rsid w:val="00737653"/>
    <w:rsid w:val="00745843"/>
    <w:rsid w:val="00746E57"/>
    <w:rsid w:val="00751E88"/>
    <w:rsid w:val="00752317"/>
    <w:rsid w:val="00753476"/>
    <w:rsid w:val="00770266"/>
    <w:rsid w:val="00775353"/>
    <w:rsid w:val="007756A9"/>
    <w:rsid w:val="0077696C"/>
    <w:rsid w:val="00777EA9"/>
    <w:rsid w:val="00781E45"/>
    <w:rsid w:val="00782E58"/>
    <w:rsid w:val="007949CC"/>
    <w:rsid w:val="007A5BA9"/>
    <w:rsid w:val="007C130B"/>
    <w:rsid w:val="007C2823"/>
    <w:rsid w:val="007C3780"/>
    <w:rsid w:val="007C4516"/>
    <w:rsid w:val="007C4FB1"/>
    <w:rsid w:val="007D47C5"/>
    <w:rsid w:val="007E6829"/>
    <w:rsid w:val="007F1E4C"/>
    <w:rsid w:val="007F3074"/>
    <w:rsid w:val="007F3D34"/>
    <w:rsid w:val="007F6BED"/>
    <w:rsid w:val="008001AD"/>
    <w:rsid w:val="00802D7C"/>
    <w:rsid w:val="00803293"/>
    <w:rsid w:val="00810968"/>
    <w:rsid w:val="00810F36"/>
    <w:rsid w:val="0081505A"/>
    <w:rsid w:val="00821D76"/>
    <w:rsid w:val="008329E1"/>
    <w:rsid w:val="0084172C"/>
    <w:rsid w:val="008436A8"/>
    <w:rsid w:val="00845A22"/>
    <w:rsid w:val="00860EE9"/>
    <w:rsid w:val="00861EC4"/>
    <w:rsid w:val="008653AB"/>
    <w:rsid w:val="008804F0"/>
    <w:rsid w:val="0088141B"/>
    <w:rsid w:val="0088174E"/>
    <w:rsid w:val="00881BE6"/>
    <w:rsid w:val="008A46C8"/>
    <w:rsid w:val="008A6C7B"/>
    <w:rsid w:val="008B017F"/>
    <w:rsid w:val="008B78E9"/>
    <w:rsid w:val="008D6CA0"/>
    <w:rsid w:val="008E03C9"/>
    <w:rsid w:val="008E123B"/>
    <w:rsid w:val="008E3067"/>
    <w:rsid w:val="008E5116"/>
    <w:rsid w:val="008E6521"/>
    <w:rsid w:val="008E6688"/>
    <w:rsid w:val="008E7795"/>
    <w:rsid w:val="008F04B0"/>
    <w:rsid w:val="00902644"/>
    <w:rsid w:val="00916BB3"/>
    <w:rsid w:val="00933C42"/>
    <w:rsid w:val="00934D8F"/>
    <w:rsid w:val="0095661C"/>
    <w:rsid w:val="00957111"/>
    <w:rsid w:val="00957C77"/>
    <w:rsid w:val="009658DE"/>
    <w:rsid w:val="00966DBA"/>
    <w:rsid w:val="009708E7"/>
    <w:rsid w:val="0097439A"/>
    <w:rsid w:val="0098375D"/>
    <w:rsid w:val="00983D9E"/>
    <w:rsid w:val="00985D4C"/>
    <w:rsid w:val="00996AD3"/>
    <w:rsid w:val="009A0C5B"/>
    <w:rsid w:val="009A4F1C"/>
    <w:rsid w:val="009B0703"/>
    <w:rsid w:val="009B68F2"/>
    <w:rsid w:val="009D50F9"/>
    <w:rsid w:val="009E50BF"/>
    <w:rsid w:val="009F5063"/>
    <w:rsid w:val="00A031AE"/>
    <w:rsid w:val="00A03AB0"/>
    <w:rsid w:val="00A1170A"/>
    <w:rsid w:val="00A11912"/>
    <w:rsid w:val="00A123D5"/>
    <w:rsid w:val="00A1294F"/>
    <w:rsid w:val="00A13BE4"/>
    <w:rsid w:val="00A140A5"/>
    <w:rsid w:val="00A35949"/>
    <w:rsid w:val="00A41358"/>
    <w:rsid w:val="00A50656"/>
    <w:rsid w:val="00A604DF"/>
    <w:rsid w:val="00A63874"/>
    <w:rsid w:val="00A64A04"/>
    <w:rsid w:val="00A6592C"/>
    <w:rsid w:val="00A65B91"/>
    <w:rsid w:val="00A66411"/>
    <w:rsid w:val="00A673FA"/>
    <w:rsid w:val="00A74E20"/>
    <w:rsid w:val="00A83C9E"/>
    <w:rsid w:val="00A84628"/>
    <w:rsid w:val="00A92CF4"/>
    <w:rsid w:val="00A9414F"/>
    <w:rsid w:val="00AA04D9"/>
    <w:rsid w:val="00AC16B0"/>
    <w:rsid w:val="00AC61E3"/>
    <w:rsid w:val="00AC781A"/>
    <w:rsid w:val="00AF1D6C"/>
    <w:rsid w:val="00B22E97"/>
    <w:rsid w:val="00B35C66"/>
    <w:rsid w:val="00B434E8"/>
    <w:rsid w:val="00B442DF"/>
    <w:rsid w:val="00B612E7"/>
    <w:rsid w:val="00B62AA2"/>
    <w:rsid w:val="00B63215"/>
    <w:rsid w:val="00B67C41"/>
    <w:rsid w:val="00B76793"/>
    <w:rsid w:val="00B771EB"/>
    <w:rsid w:val="00B82319"/>
    <w:rsid w:val="00B82E76"/>
    <w:rsid w:val="00B83416"/>
    <w:rsid w:val="00B85347"/>
    <w:rsid w:val="00B87E05"/>
    <w:rsid w:val="00B975A1"/>
    <w:rsid w:val="00BB0CE6"/>
    <w:rsid w:val="00BB0EF7"/>
    <w:rsid w:val="00BB11D4"/>
    <w:rsid w:val="00BB33C7"/>
    <w:rsid w:val="00BC77CC"/>
    <w:rsid w:val="00BD487F"/>
    <w:rsid w:val="00BF12B2"/>
    <w:rsid w:val="00BF6757"/>
    <w:rsid w:val="00C01CF7"/>
    <w:rsid w:val="00C1403D"/>
    <w:rsid w:val="00C20075"/>
    <w:rsid w:val="00C25822"/>
    <w:rsid w:val="00C27470"/>
    <w:rsid w:val="00C347B3"/>
    <w:rsid w:val="00C36E42"/>
    <w:rsid w:val="00C37374"/>
    <w:rsid w:val="00C374A6"/>
    <w:rsid w:val="00C45A9A"/>
    <w:rsid w:val="00C477AB"/>
    <w:rsid w:val="00C56692"/>
    <w:rsid w:val="00C641D3"/>
    <w:rsid w:val="00C6503D"/>
    <w:rsid w:val="00C66C67"/>
    <w:rsid w:val="00C9292F"/>
    <w:rsid w:val="00C95686"/>
    <w:rsid w:val="00C95E49"/>
    <w:rsid w:val="00CA2572"/>
    <w:rsid w:val="00CB014C"/>
    <w:rsid w:val="00CB4228"/>
    <w:rsid w:val="00CB70E6"/>
    <w:rsid w:val="00CC32C8"/>
    <w:rsid w:val="00CC7B06"/>
    <w:rsid w:val="00CD6D6A"/>
    <w:rsid w:val="00CE0F98"/>
    <w:rsid w:val="00CE215F"/>
    <w:rsid w:val="00CE222A"/>
    <w:rsid w:val="00D032D5"/>
    <w:rsid w:val="00D1704B"/>
    <w:rsid w:val="00D337FD"/>
    <w:rsid w:val="00D37E25"/>
    <w:rsid w:val="00D5055E"/>
    <w:rsid w:val="00D53355"/>
    <w:rsid w:val="00D5561F"/>
    <w:rsid w:val="00D7726F"/>
    <w:rsid w:val="00DA7780"/>
    <w:rsid w:val="00DB2FF2"/>
    <w:rsid w:val="00DB4657"/>
    <w:rsid w:val="00DB5581"/>
    <w:rsid w:val="00DB6088"/>
    <w:rsid w:val="00DB6A82"/>
    <w:rsid w:val="00DD76FA"/>
    <w:rsid w:val="00DE1C62"/>
    <w:rsid w:val="00DE35FB"/>
    <w:rsid w:val="00DE5BCE"/>
    <w:rsid w:val="00DF079E"/>
    <w:rsid w:val="00DF1137"/>
    <w:rsid w:val="00DF14E2"/>
    <w:rsid w:val="00DF18D4"/>
    <w:rsid w:val="00DF7798"/>
    <w:rsid w:val="00E20715"/>
    <w:rsid w:val="00E20B9C"/>
    <w:rsid w:val="00E2100B"/>
    <w:rsid w:val="00E229CC"/>
    <w:rsid w:val="00E235CF"/>
    <w:rsid w:val="00E32FCE"/>
    <w:rsid w:val="00E4072E"/>
    <w:rsid w:val="00E46271"/>
    <w:rsid w:val="00E56B60"/>
    <w:rsid w:val="00E60397"/>
    <w:rsid w:val="00E65702"/>
    <w:rsid w:val="00E85C6E"/>
    <w:rsid w:val="00E9067B"/>
    <w:rsid w:val="00E9195F"/>
    <w:rsid w:val="00E958E4"/>
    <w:rsid w:val="00E96B1B"/>
    <w:rsid w:val="00EA03DC"/>
    <w:rsid w:val="00EA27E5"/>
    <w:rsid w:val="00EA3426"/>
    <w:rsid w:val="00EA433E"/>
    <w:rsid w:val="00EA57A8"/>
    <w:rsid w:val="00EB17F7"/>
    <w:rsid w:val="00EB289E"/>
    <w:rsid w:val="00EB527A"/>
    <w:rsid w:val="00EC1306"/>
    <w:rsid w:val="00EC29D7"/>
    <w:rsid w:val="00EC7240"/>
    <w:rsid w:val="00ED42B1"/>
    <w:rsid w:val="00ED4FCC"/>
    <w:rsid w:val="00EF3B55"/>
    <w:rsid w:val="00F010BD"/>
    <w:rsid w:val="00F0263B"/>
    <w:rsid w:val="00F07762"/>
    <w:rsid w:val="00F124AE"/>
    <w:rsid w:val="00F14A75"/>
    <w:rsid w:val="00F15CAE"/>
    <w:rsid w:val="00F17FE1"/>
    <w:rsid w:val="00F20F72"/>
    <w:rsid w:val="00F2355D"/>
    <w:rsid w:val="00F2617A"/>
    <w:rsid w:val="00F42E3A"/>
    <w:rsid w:val="00F44487"/>
    <w:rsid w:val="00F523FA"/>
    <w:rsid w:val="00F57955"/>
    <w:rsid w:val="00F74669"/>
    <w:rsid w:val="00F74C28"/>
    <w:rsid w:val="00F76A5C"/>
    <w:rsid w:val="00F82FD1"/>
    <w:rsid w:val="00F95BE5"/>
    <w:rsid w:val="00FA1815"/>
    <w:rsid w:val="00FB36DA"/>
    <w:rsid w:val="00FB53FF"/>
    <w:rsid w:val="00FB5786"/>
    <w:rsid w:val="00FC52BE"/>
    <w:rsid w:val="00FE1C22"/>
    <w:rsid w:val="01DB0283"/>
    <w:rsid w:val="032348AB"/>
    <w:rsid w:val="03741B99"/>
    <w:rsid w:val="041D1F18"/>
    <w:rsid w:val="05422780"/>
    <w:rsid w:val="060707DD"/>
    <w:rsid w:val="067F17E4"/>
    <w:rsid w:val="06B23D5E"/>
    <w:rsid w:val="06BE596A"/>
    <w:rsid w:val="072D4437"/>
    <w:rsid w:val="07727EEC"/>
    <w:rsid w:val="084A43DC"/>
    <w:rsid w:val="08646365"/>
    <w:rsid w:val="08F5269D"/>
    <w:rsid w:val="0975770E"/>
    <w:rsid w:val="09F233A9"/>
    <w:rsid w:val="0A204648"/>
    <w:rsid w:val="0B6A2ADF"/>
    <w:rsid w:val="0B7A14D5"/>
    <w:rsid w:val="0BDE3B0E"/>
    <w:rsid w:val="0BE0521C"/>
    <w:rsid w:val="0C002F61"/>
    <w:rsid w:val="0C34445D"/>
    <w:rsid w:val="0C5019B2"/>
    <w:rsid w:val="0CD8663C"/>
    <w:rsid w:val="0CF04ED1"/>
    <w:rsid w:val="0E0332A9"/>
    <w:rsid w:val="0E125E9A"/>
    <w:rsid w:val="0E8007D6"/>
    <w:rsid w:val="0FB26AE6"/>
    <w:rsid w:val="0FBE01A5"/>
    <w:rsid w:val="10591EE8"/>
    <w:rsid w:val="11686414"/>
    <w:rsid w:val="1173669F"/>
    <w:rsid w:val="11BE75E2"/>
    <w:rsid w:val="11EE4584"/>
    <w:rsid w:val="12055F55"/>
    <w:rsid w:val="128D4A11"/>
    <w:rsid w:val="13477D30"/>
    <w:rsid w:val="13911466"/>
    <w:rsid w:val="13A7611E"/>
    <w:rsid w:val="14257FA7"/>
    <w:rsid w:val="145C3C6A"/>
    <w:rsid w:val="151C4B73"/>
    <w:rsid w:val="16075904"/>
    <w:rsid w:val="16317C47"/>
    <w:rsid w:val="17794C1F"/>
    <w:rsid w:val="179E35EE"/>
    <w:rsid w:val="179F4858"/>
    <w:rsid w:val="17C8769A"/>
    <w:rsid w:val="17DF3BC6"/>
    <w:rsid w:val="17F40566"/>
    <w:rsid w:val="18DC4BFC"/>
    <w:rsid w:val="19107B87"/>
    <w:rsid w:val="192C10D8"/>
    <w:rsid w:val="19B8756E"/>
    <w:rsid w:val="1A1237AF"/>
    <w:rsid w:val="1A683A18"/>
    <w:rsid w:val="1B006F34"/>
    <w:rsid w:val="1DB250B7"/>
    <w:rsid w:val="1DF364B5"/>
    <w:rsid w:val="1DF4076D"/>
    <w:rsid w:val="1DF83C7D"/>
    <w:rsid w:val="1EEF00B9"/>
    <w:rsid w:val="20095B81"/>
    <w:rsid w:val="202B40FA"/>
    <w:rsid w:val="209B6E28"/>
    <w:rsid w:val="20A1779F"/>
    <w:rsid w:val="20B23337"/>
    <w:rsid w:val="21CA2570"/>
    <w:rsid w:val="22CB3C4E"/>
    <w:rsid w:val="23202FA6"/>
    <w:rsid w:val="2323220F"/>
    <w:rsid w:val="237F406B"/>
    <w:rsid w:val="23A72FCE"/>
    <w:rsid w:val="2438471B"/>
    <w:rsid w:val="25B5449B"/>
    <w:rsid w:val="25C655DD"/>
    <w:rsid w:val="26643BFE"/>
    <w:rsid w:val="2671562B"/>
    <w:rsid w:val="26FC021C"/>
    <w:rsid w:val="273E3781"/>
    <w:rsid w:val="27BF32BE"/>
    <w:rsid w:val="27F3161F"/>
    <w:rsid w:val="288B6D4C"/>
    <w:rsid w:val="28E057E5"/>
    <w:rsid w:val="28F1218A"/>
    <w:rsid w:val="290401B8"/>
    <w:rsid w:val="29AF6F4C"/>
    <w:rsid w:val="2A2E715A"/>
    <w:rsid w:val="2A46021F"/>
    <w:rsid w:val="2AC47B16"/>
    <w:rsid w:val="2AF61E5D"/>
    <w:rsid w:val="2BB56D0E"/>
    <w:rsid w:val="2C020634"/>
    <w:rsid w:val="2C214055"/>
    <w:rsid w:val="2C780D13"/>
    <w:rsid w:val="2D4E3C7F"/>
    <w:rsid w:val="2D5203DB"/>
    <w:rsid w:val="2D55517C"/>
    <w:rsid w:val="2E245E8E"/>
    <w:rsid w:val="2E8B728F"/>
    <w:rsid w:val="2ED77B06"/>
    <w:rsid w:val="2FF41798"/>
    <w:rsid w:val="30625475"/>
    <w:rsid w:val="30A804F4"/>
    <w:rsid w:val="30B71C36"/>
    <w:rsid w:val="31895970"/>
    <w:rsid w:val="31B95F69"/>
    <w:rsid w:val="31C25049"/>
    <w:rsid w:val="32C54D96"/>
    <w:rsid w:val="32C851B1"/>
    <w:rsid w:val="334375E4"/>
    <w:rsid w:val="336E0939"/>
    <w:rsid w:val="340C2885"/>
    <w:rsid w:val="341600F9"/>
    <w:rsid w:val="34343B09"/>
    <w:rsid w:val="347F69DC"/>
    <w:rsid w:val="349C7D43"/>
    <w:rsid w:val="34A7043B"/>
    <w:rsid w:val="35791238"/>
    <w:rsid w:val="357F49C9"/>
    <w:rsid w:val="35FB2226"/>
    <w:rsid w:val="36722E5C"/>
    <w:rsid w:val="369F7680"/>
    <w:rsid w:val="37653C28"/>
    <w:rsid w:val="37830C3B"/>
    <w:rsid w:val="37E63AB5"/>
    <w:rsid w:val="381A773A"/>
    <w:rsid w:val="39507E77"/>
    <w:rsid w:val="39CB7668"/>
    <w:rsid w:val="3A00765E"/>
    <w:rsid w:val="3A2171B1"/>
    <w:rsid w:val="3A891740"/>
    <w:rsid w:val="3B00481A"/>
    <w:rsid w:val="3B3F2D0A"/>
    <w:rsid w:val="3B6F4C85"/>
    <w:rsid w:val="3B8012A0"/>
    <w:rsid w:val="3B88771A"/>
    <w:rsid w:val="3BED708C"/>
    <w:rsid w:val="3BEF0EBF"/>
    <w:rsid w:val="3C1B789E"/>
    <w:rsid w:val="3C2D0C90"/>
    <w:rsid w:val="3CCC507A"/>
    <w:rsid w:val="3CCF1F21"/>
    <w:rsid w:val="3D0120D8"/>
    <w:rsid w:val="3D10657D"/>
    <w:rsid w:val="3D394BF1"/>
    <w:rsid w:val="3D6B3957"/>
    <w:rsid w:val="3E9747B5"/>
    <w:rsid w:val="3EF43C23"/>
    <w:rsid w:val="3F2676D9"/>
    <w:rsid w:val="3F5F7351"/>
    <w:rsid w:val="4039318F"/>
    <w:rsid w:val="42E04282"/>
    <w:rsid w:val="448E0F5F"/>
    <w:rsid w:val="452D3B07"/>
    <w:rsid w:val="456A5FCD"/>
    <w:rsid w:val="456C19C4"/>
    <w:rsid w:val="458F17EC"/>
    <w:rsid w:val="45E23D27"/>
    <w:rsid w:val="463C2446"/>
    <w:rsid w:val="46681526"/>
    <w:rsid w:val="46990B17"/>
    <w:rsid w:val="47C3656A"/>
    <w:rsid w:val="483D15E1"/>
    <w:rsid w:val="48ED6392"/>
    <w:rsid w:val="495661C3"/>
    <w:rsid w:val="495F42EA"/>
    <w:rsid w:val="49620B7C"/>
    <w:rsid w:val="497B2D98"/>
    <w:rsid w:val="49AA4153"/>
    <w:rsid w:val="49E664DF"/>
    <w:rsid w:val="4A261CD7"/>
    <w:rsid w:val="4A6D507F"/>
    <w:rsid w:val="4BC34CB2"/>
    <w:rsid w:val="4C7E32ED"/>
    <w:rsid w:val="4D9047DF"/>
    <w:rsid w:val="4DE24F9C"/>
    <w:rsid w:val="4E3229A2"/>
    <w:rsid w:val="4E641B2E"/>
    <w:rsid w:val="4FAE7D69"/>
    <w:rsid w:val="4FBA6CD7"/>
    <w:rsid w:val="507B0716"/>
    <w:rsid w:val="50AD57CE"/>
    <w:rsid w:val="50E07518"/>
    <w:rsid w:val="511F04A5"/>
    <w:rsid w:val="51242B86"/>
    <w:rsid w:val="51511167"/>
    <w:rsid w:val="51A30702"/>
    <w:rsid w:val="51ED1E8E"/>
    <w:rsid w:val="523303C9"/>
    <w:rsid w:val="524E534A"/>
    <w:rsid w:val="52D05D21"/>
    <w:rsid w:val="52DF71EF"/>
    <w:rsid w:val="5313758B"/>
    <w:rsid w:val="538C69C3"/>
    <w:rsid w:val="53AD2437"/>
    <w:rsid w:val="541F10CB"/>
    <w:rsid w:val="54380719"/>
    <w:rsid w:val="54A051B8"/>
    <w:rsid w:val="555D21D7"/>
    <w:rsid w:val="556F58FB"/>
    <w:rsid w:val="558A7190"/>
    <w:rsid w:val="55C7008D"/>
    <w:rsid w:val="562E2DB4"/>
    <w:rsid w:val="57AB660A"/>
    <w:rsid w:val="580863D8"/>
    <w:rsid w:val="58646800"/>
    <w:rsid w:val="589F0AD8"/>
    <w:rsid w:val="595B3551"/>
    <w:rsid w:val="59627412"/>
    <w:rsid w:val="59BA68A2"/>
    <w:rsid w:val="5ACC6B10"/>
    <w:rsid w:val="5B8422F7"/>
    <w:rsid w:val="5C3F3FFB"/>
    <w:rsid w:val="5C597819"/>
    <w:rsid w:val="5D5A3B31"/>
    <w:rsid w:val="5DAD3A79"/>
    <w:rsid w:val="5DCD1758"/>
    <w:rsid w:val="5E574FA8"/>
    <w:rsid w:val="5F08128D"/>
    <w:rsid w:val="5F873C50"/>
    <w:rsid w:val="5FC330A1"/>
    <w:rsid w:val="5FC53D74"/>
    <w:rsid w:val="602101AB"/>
    <w:rsid w:val="60905B6C"/>
    <w:rsid w:val="60B15181"/>
    <w:rsid w:val="60BB37D8"/>
    <w:rsid w:val="60C8673E"/>
    <w:rsid w:val="61486A46"/>
    <w:rsid w:val="61F41DFF"/>
    <w:rsid w:val="635D5B0E"/>
    <w:rsid w:val="63F60D77"/>
    <w:rsid w:val="64687828"/>
    <w:rsid w:val="64B2391D"/>
    <w:rsid w:val="64B65680"/>
    <w:rsid w:val="65464803"/>
    <w:rsid w:val="65DC1B12"/>
    <w:rsid w:val="66745D68"/>
    <w:rsid w:val="671C384B"/>
    <w:rsid w:val="68015D6B"/>
    <w:rsid w:val="681D4A76"/>
    <w:rsid w:val="69266272"/>
    <w:rsid w:val="699D69A6"/>
    <w:rsid w:val="6A420C2A"/>
    <w:rsid w:val="6B85733F"/>
    <w:rsid w:val="6BE96218"/>
    <w:rsid w:val="6BF95DFB"/>
    <w:rsid w:val="6C180259"/>
    <w:rsid w:val="6C2E30E4"/>
    <w:rsid w:val="6C79796F"/>
    <w:rsid w:val="6C9D5C8C"/>
    <w:rsid w:val="6CF1733F"/>
    <w:rsid w:val="6D0D21EB"/>
    <w:rsid w:val="6D911044"/>
    <w:rsid w:val="6DAE4ED6"/>
    <w:rsid w:val="6E097F2E"/>
    <w:rsid w:val="6EBC2C77"/>
    <w:rsid w:val="6EC854BE"/>
    <w:rsid w:val="6FD81D7F"/>
    <w:rsid w:val="70BD04CD"/>
    <w:rsid w:val="711427DE"/>
    <w:rsid w:val="71836296"/>
    <w:rsid w:val="720D1E5C"/>
    <w:rsid w:val="728104DD"/>
    <w:rsid w:val="739A40A9"/>
    <w:rsid w:val="73BB2A23"/>
    <w:rsid w:val="74360F69"/>
    <w:rsid w:val="74B35022"/>
    <w:rsid w:val="74C72569"/>
    <w:rsid w:val="74F01185"/>
    <w:rsid w:val="75386EA7"/>
    <w:rsid w:val="76040B5B"/>
    <w:rsid w:val="76B369B9"/>
    <w:rsid w:val="77002186"/>
    <w:rsid w:val="77466101"/>
    <w:rsid w:val="776215B2"/>
    <w:rsid w:val="784871AF"/>
    <w:rsid w:val="785A7E99"/>
    <w:rsid w:val="78D6242A"/>
    <w:rsid w:val="791D2E63"/>
    <w:rsid w:val="79A72BDF"/>
    <w:rsid w:val="79AE6EAC"/>
    <w:rsid w:val="79B20EA9"/>
    <w:rsid w:val="79B71311"/>
    <w:rsid w:val="79C06C32"/>
    <w:rsid w:val="79FC47FF"/>
    <w:rsid w:val="7A404A50"/>
    <w:rsid w:val="7AF32215"/>
    <w:rsid w:val="7B2365E5"/>
    <w:rsid w:val="7B26441E"/>
    <w:rsid w:val="7BA646F8"/>
    <w:rsid w:val="7BE00DA4"/>
    <w:rsid w:val="7D7A7DE3"/>
    <w:rsid w:val="7DAA29C3"/>
    <w:rsid w:val="7EB156A1"/>
    <w:rsid w:val="7EF70F9E"/>
    <w:rsid w:val="7F2E620B"/>
    <w:rsid w:val="7F340489"/>
    <w:rsid w:val="7F594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4">
    <w:name w:val="heading 1"/>
    <w:basedOn w:val="1"/>
    <w:next w:val="1"/>
    <w:link w:val="35"/>
    <w:qFormat/>
    <w:uiPriority w:val="0"/>
    <w:pPr>
      <w:outlineLvl w:val="0"/>
    </w:pPr>
  </w:style>
  <w:style w:type="paragraph" w:styleId="5">
    <w:name w:val="heading 2"/>
    <w:basedOn w:val="1"/>
    <w:next w:val="1"/>
    <w:link w:val="38"/>
    <w:unhideWhenUsed/>
    <w:qFormat/>
    <w:uiPriority w:val="9"/>
    <w:pPr>
      <w:ind w:left="220" w:right="220" w:firstLine="602" w:firstLineChars="200"/>
      <w:outlineLvl w:val="1"/>
    </w:p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color w:val="FF0000"/>
      <w:sz w:val="20"/>
    </w:rPr>
  </w:style>
  <w:style w:type="paragraph" w:styleId="3">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6">
    <w:name w:val="Normal Indent"/>
    <w:basedOn w:val="1"/>
    <w:qFormat/>
    <w:uiPriority w:val="0"/>
    <w:pPr>
      <w:ind w:firstLine="420" w:firstLineChars="200"/>
    </w:pPr>
  </w:style>
  <w:style w:type="paragraph" w:styleId="7">
    <w:name w:val="Document Map"/>
    <w:basedOn w:val="1"/>
    <w:link w:val="43"/>
    <w:qFormat/>
    <w:uiPriority w:val="0"/>
    <w:pPr>
      <w:widowControl w:val="0"/>
      <w:adjustRightInd/>
      <w:snapToGrid/>
      <w:spacing w:after="0"/>
      <w:jc w:val="both"/>
    </w:pPr>
    <w:rPr>
      <w:rFonts w:ascii="宋体" w:hAnsi="Times New Roman" w:eastAsia="宋体" w:cs="Times New Roman"/>
      <w:kern w:val="2"/>
      <w:sz w:val="18"/>
      <w:szCs w:val="18"/>
    </w:rPr>
  </w:style>
  <w:style w:type="paragraph" w:styleId="8">
    <w:name w:val="annotation text"/>
    <w:basedOn w:val="1"/>
    <w:link w:val="33"/>
    <w:qFormat/>
    <w:uiPriority w:val="0"/>
    <w:rPr>
      <w:rFonts w:ascii="Times New Roman" w:hAnsi="Times New Roman"/>
    </w:rPr>
  </w:style>
  <w:style w:type="paragraph" w:styleId="9">
    <w:name w:val="Body Text Indent"/>
    <w:basedOn w:val="1"/>
    <w:link w:val="49"/>
    <w:unhideWhenUsed/>
    <w:qFormat/>
    <w:uiPriority w:val="0"/>
    <w:pPr>
      <w:spacing w:after="120"/>
      <w:ind w:left="420" w:leftChars="200"/>
    </w:pPr>
  </w:style>
  <w:style w:type="paragraph" w:styleId="10">
    <w:name w:val="Plain Text"/>
    <w:basedOn w:val="1"/>
    <w:qFormat/>
    <w:uiPriority w:val="0"/>
    <w:rPr>
      <w:rFonts w:ascii="宋体" w:hAnsi="Courier New"/>
      <w:sz w:val="20"/>
      <w:szCs w:val="21"/>
    </w:rPr>
  </w:style>
  <w:style w:type="paragraph" w:styleId="11">
    <w:name w:val="Body Text Indent 2"/>
    <w:basedOn w:val="1"/>
    <w:link w:val="37"/>
    <w:qFormat/>
    <w:uiPriority w:val="0"/>
    <w:pPr>
      <w:spacing w:after="120" w:line="480" w:lineRule="auto"/>
      <w:ind w:left="420" w:leftChars="200"/>
    </w:pPr>
  </w:style>
  <w:style w:type="paragraph" w:styleId="12">
    <w:name w:val="Balloon Text"/>
    <w:basedOn w:val="1"/>
    <w:link w:val="32"/>
    <w:qFormat/>
    <w:uiPriority w:val="0"/>
    <w:pPr>
      <w:spacing w:after="0"/>
    </w:pPr>
    <w:rPr>
      <w:sz w:val="18"/>
      <w:szCs w:val="18"/>
    </w:rPr>
  </w:style>
  <w:style w:type="paragraph" w:styleId="13">
    <w:name w:val="footer"/>
    <w:basedOn w:val="1"/>
    <w:link w:val="47"/>
    <w:unhideWhenUsed/>
    <w:qFormat/>
    <w:uiPriority w:val="99"/>
    <w:pPr>
      <w:tabs>
        <w:tab w:val="center" w:pos="4153"/>
        <w:tab w:val="right" w:pos="8306"/>
      </w:tabs>
    </w:pPr>
    <w:rPr>
      <w:sz w:val="18"/>
      <w:szCs w:val="18"/>
    </w:rPr>
  </w:style>
  <w:style w:type="paragraph" w:styleId="14">
    <w:name w:val="header"/>
    <w:basedOn w:val="1"/>
    <w:unhideWhenUsed/>
    <w:qFormat/>
    <w:uiPriority w:val="0"/>
    <w:pPr>
      <w:pBdr>
        <w:bottom w:val="single" w:color="auto" w:sz="6" w:space="1"/>
      </w:pBdr>
      <w:tabs>
        <w:tab w:val="center" w:pos="4153"/>
        <w:tab w:val="right" w:pos="8306"/>
      </w:tabs>
      <w:jc w:val="center"/>
    </w:pPr>
    <w:rPr>
      <w:sz w:val="18"/>
      <w:szCs w:val="18"/>
    </w:rPr>
  </w:style>
  <w:style w:type="paragraph" w:styleId="15">
    <w:name w:val="toc 1"/>
    <w:basedOn w:val="1"/>
    <w:next w:val="1"/>
    <w:qFormat/>
    <w:uiPriority w:val="39"/>
  </w:style>
  <w:style w:type="paragraph" w:styleId="16">
    <w:name w:val="Body Text Indent 3"/>
    <w:basedOn w:val="1"/>
    <w:link w:val="36"/>
    <w:qFormat/>
    <w:uiPriority w:val="0"/>
    <w:pPr>
      <w:spacing w:after="120"/>
      <w:ind w:left="420" w:leftChars="200"/>
    </w:pPr>
    <w:rPr>
      <w:sz w:val="16"/>
      <w:szCs w:val="16"/>
    </w:rPr>
  </w:style>
  <w:style w:type="paragraph" w:styleId="17">
    <w:name w:val="toc 2"/>
    <w:basedOn w:val="1"/>
    <w:next w:val="1"/>
    <w:qFormat/>
    <w:uiPriority w:val="39"/>
    <w:pPr>
      <w:ind w:left="420" w:leftChars="200"/>
    </w:pPr>
  </w:style>
  <w:style w:type="paragraph" w:styleId="18">
    <w:name w:val="Normal (Web)"/>
    <w:basedOn w:val="1"/>
    <w:qFormat/>
    <w:uiPriority w:val="0"/>
    <w:pPr>
      <w:spacing w:beforeAutospacing="1" w:after="0" w:afterAutospacing="1"/>
      <w:ind w:left="880" w:leftChars="100" w:right="100" w:rightChars="100"/>
    </w:pPr>
    <w:rPr>
      <w:rFonts w:eastAsia="仿宋_GB2312" w:cs="Times New Roman"/>
      <w:b/>
      <w:sz w:val="30"/>
    </w:rPr>
  </w:style>
  <w:style w:type="paragraph" w:styleId="19">
    <w:name w:val="Title"/>
    <w:basedOn w:val="1"/>
    <w:next w:val="1"/>
    <w:qFormat/>
    <w:uiPriority w:val="10"/>
    <w:pPr>
      <w:spacing w:before="240" w:after="60"/>
      <w:jc w:val="center"/>
      <w:outlineLvl w:val="0"/>
    </w:pPr>
    <w:rPr>
      <w:rFonts w:eastAsia="仿宋_GB2312" w:asciiTheme="majorHAnsi" w:hAnsiTheme="majorHAnsi" w:cstheme="majorBidi"/>
      <w:b/>
      <w:bCs/>
      <w:sz w:val="36"/>
      <w:szCs w:val="32"/>
    </w:rPr>
  </w:style>
  <w:style w:type="paragraph" w:styleId="20">
    <w:name w:val="annotation subject"/>
    <w:basedOn w:val="8"/>
    <w:next w:val="8"/>
    <w:link w:val="34"/>
    <w:qFormat/>
    <w:uiPriority w:val="0"/>
    <w:rPr>
      <w:rFonts w:ascii="Tahoma" w:hAnsi="Tahoma"/>
      <w:b/>
      <w:bCs/>
    </w:rPr>
  </w:style>
  <w:style w:type="paragraph" w:styleId="21">
    <w:name w:val="Body Text First Indent 2"/>
    <w:basedOn w:val="9"/>
    <w:link w:val="48"/>
    <w:qFormat/>
    <w:uiPriority w:val="0"/>
    <w:pPr>
      <w:adjustRightInd/>
      <w:ind w:firstLine="420" w:firstLineChars="200"/>
    </w:pPr>
    <w:rPr>
      <w:rFonts w:asciiTheme="minorHAnsi" w:hAnsiTheme="minorHAnsi" w:eastAsiaTheme="minorEastAsia"/>
      <w:kern w:val="2"/>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basedOn w:val="24"/>
    <w:qFormat/>
    <w:uiPriority w:val="99"/>
    <w:rPr>
      <w:sz w:val="21"/>
      <w:szCs w:val="21"/>
    </w:rPr>
  </w:style>
  <w:style w:type="paragraph" w:customStyle="1" w:styleId="28">
    <w:name w:val="Default"/>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paragraph" w:customStyle="1" w:styleId="29">
    <w:name w:val="Index8"/>
    <w:basedOn w:val="1"/>
    <w:next w:val="1"/>
    <w:qFormat/>
    <w:uiPriority w:val="0"/>
    <w:pPr>
      <w:widowControl w:val="0"/>
      <w:adjustRightInd/>
      <w:snapToGrid/>
      <w:spacing w:after="0" w:line="276" w:lineRule="auto"/>
      <w:jc w:val="both"/>
    </w:pPr>
    <w:rPr>
      <w:rFonts w:ascii="Times New Roman" w:hAnsi="Times New Roman" w:eastAsia="宋体" w:cs="Times New Roman"/>
      <w:color w:val="FF0000"/>
      <w:kern w:val="2"/>
      <w:sz w:val="21"/>
      <w:szCs w:val="21"/>
    </w:rPr>
  </w:style>
  <w:style w:type="paragraph" w:customStyle="1" w:styleId="30">
    <w:name w:val="WPSOffice手动目录 1"/>
    <w:qFormat/>
    <w:uiPriority w:val="0"/>
    <w:rPr>
      <w:rFonts w:ascii="Times New Roman" w:hAnsi="Times New Roman" w:eastAsia="宋体" w:cs="Times New Roman"/>
      <w:lang w:val="en-US" w:eastAsia="zh-CN" w:bidi="ar-SA"/>
    </w:rPr>
  </w:style>
  <w:style w:type="paragraph" w:customStyle="1" w:styleId="31">
    <w:name w:val="列出段落1"/>
    <w:basedOn w:val="1"/>
    <w:qFormat/>
    <w:uiPriority w:val="34"/>
    <w:pPr>
      <w:ind w:firstLine="420" w:firstLineChars="200"/>
    </w:pPr>
  </w:style>
  <w:style w:type="character" w:customStyle="1" w:styleId="32">
    <w:name w:val="批注框文本 字符"/>
    <w:basedOn w:val="24"/>
    <w:link w:val="12"/>
    <w:qFormat/>
    <w:uiPriority w:val="0"/>
    <w:rPr>
      <w:rFonts w:ascii="Tahoma" w:hAnsi="Tahoma" w:eastAsia="微软雅黑"/>
      <w:sz w:val="18"/>
      <w:szCs w:val="18"/>
    </w:rPr>
  </w:style>
  <w:style w:type="character" w:customStyle="1" w:styleId="33">
    <w:name w:val="批注文字 字符"/>
    <w:basedOn w:val="24"/>
    <w:link w:val="8"/>
    <w:qFormat/>
    <w:uiPriority w:val="0"/>
    <w:rPr>
      <w:rFonts w:ascii="Times New Roman" w:hAnsi="Times New Roman" w:eastAsia="微软雅黑"/>
      <w:sz w:val="22"/>
      <w:szCs w:val="22"/>
    </w:rPr>
  </w:style>
  <w:style w:type="character" w:customStyle="1" w:styleId="34">
    <w:name w:val="批注主题 字符"/>
    <w:basedOn w:val="33"/>
    <w:link w:val="20"/>
    <w:qFormat/>
    <w:uiPriority w:val="0"/>
    <w:rPr>
      <w:rFonts w:ascii="Tahoma" w:hAnsi="Tahoma" w:eastAsia="微软雅黑"/>
      <w:b/>
      <w:bCs/>
      <w:sz w:val="22"/>
      <w:szCs w:val="22"/>
    </w:rPr>
  </w:style>
  <w:style w:type="character" w:customStyle="1" w:styleId="35">
    <w:name w:val="标题 1 字符"/>
    <w:basedOn w:val="24"/>
    <w:link w:val="4"/>
    <w:qFormat/>
    <w:uiPriority w:val="0"/>
    <w:rPr>
      <w:rFonts w:ascii="Tahoma" w:hAnsi="Tahoma" w:eastAsia="仿宋_GB2312" w:cs="Times New Roman"/>
      <w:b/>
      <w:sz w:val="30"/>
      <w:szCs w:val="22"/>
    </w:rPr>
  </w:style>
  <w:style w:type="character" w:customStyle="1" w:styleId="36">
    <w:name w:val="正文文本缩进 3 字符"/>
    <w:basedOn w:val="24"/>
    <w:link w:val="16"/>
    <w:qFormat/>
    <w:uiPriority w:val="0"/>
    <w:rPr>
      <w:rFonts w:ascii="Tahoma" w:hAnsi="Tahoma" w:eastAsia="微软雅黑"/>
      <w:sz w:val="16"/>
      <w:szCs w:val="16"/>
    </w:rPr>
  </w:style>
  <w:style w:type="character" w:customStyle="1" w:styleId="37">
    <w:name w:val="正文文本缩进 2 字符"/>
    <w:basedOn w:val="24"/>
    <w:link w:val="11"/>
    <w:qFormat/>
    <w:uiPriority w:val="0"/>
    <w:rPr>
      <w:rFonts w:ascii="Tahoma" w:hAnsi="Tahoma" w:eastAsia="微软雅黑"/>
      <w:sz w:val="22"/>
      <w:szCs w:val="22"/>
    </w:rPr>
  </w:style>
  <w:style w:type="character" w:customStyle="1" w:styleId="38">
    <w:name w:val="标题 2 字符"/>
    <w:basedOn w:val="24"/>
    <w:link w:val="5"/>
    <w:qFormat/>
    <w:uiPriority w:val="9"/>
    <w:rPr>
      <w:rFonts w:ascii="Tahoma" w:hAnsi="Tahoma" w:eastAsia="仿宋_GB2312" w:cs="Times New Roman"/>
      <w:b/>
      <w:sz w:val="30"/>
      <w:szCs w:val="22"/>
    </w:rPr>
  </w:style>
  <w:style w:type="paragraph" w:customStyle="1" w:styleId="39">
    <w:name w:val="修订1"/>
    <w:hidden/>
    <w:semiHidden/>
    <w:qFormat/>
    <w:uiPriority w:val="99"/>
    <w:rPr>
      <w:rFonts w:ascii="Tahoma" w:hAnsi="Tahoma" w:eastAsia="微软雅黑" w:cstheme="minorBidi"/>
      <w:sz w:val="22"/>
      <w:szCs w:val="22"/>
      <w:lang w:val="en-US" w:eastAsia="zh-CN" w:bidi="ar-SA"/>
    </w:rPr>
  </w:style>
  <w:style w:type="paragraph" w:customStyle="1" w:styleId="40">
    <w:name w:val="GW-正文"/>
    <w:basedOn w:val="1"/>
    <w:link w:val="41"/>
    <w:qFormat/>
    <w:uiPriority w:val="0"/>
    <w:pPr>
      <w:widowControl w:val="0"/>
      <w:adjustRightInd/>
      <w:snapToGrid/>
      <w:spacing w:after="0" w:line="360" w:lineRule="auto"/>
      <w:ind w:firstLine="200" w:firstLineChars="200"/>
      <w:jc w:val="both"/>
    </w:pPr>
    <w:rPr>
      <w:rFonts w:ascii="Calibri" w:hAnsi="Calibri" w:eastAsia="仿宋_GB2312" w:cs="Times New Roman"/>
      <w:kern w:val="2"/>
      <w:sz w:val="24"/>
      <w:szCs w:val="24"/>
    </w:rPr>
  </w:style>
  <w:style w:type="character" w:customStyle="1" w:styleId="41">
    <w:name w:val="GW-正文 Char"/>
    <w:link w:val="40"/>
    <w:qFormat/>
    <w:uiPriority w:val="0"/>
    <w:rPr>
      <w:rFonts w:ascii="Calibri" w:hAnsi="Calibri" w:eastAsia="仿宋_GB2312"/>
      <w:kern w:val="2"/>
      <w:sz w:val="24"/>
      <w:szCs w:val="24"/>
    </w:rPr>
  </w:style>
  <w:style w:type="paragraph" w:customStyle="1" w:styleId="42">
    <w:name w:val="List Paragraph"/>
    <w:basedOn w:val="1"/>
    <w:qFormat/>
    <w:uiPriority w:val="99"/>
    <w:pPr>
      <w:ind w:firstLine="420" w:firstLineChars="200"/>
    </w:pPr>
  </w:style>
  <w:style w:type="character" w:customStyle="1" w:styleId="43">
    <w:name w:val="文档结构图 字符"/>
    <w:link w:val="7"/>
    <w:qFormat/>
    <w:uiPriority w:val="0"/>
    <w:rPr>
      <w:rFonts w:ascii="宋体"/>
      <w:kern w:val="2"/>
      <w:sz w:val="18"/>
      <w:szCs w:val="18"/>
    </w:rPr>
  </w:style>
  <w:style w:type="character" w:customStyle="1" w:styleId="44">
    <w:name w:val="文档结构图 Char1"/>
    <w:basedOn w:val="24"/>
    <w:qFormat/>
    <w:uiPriority w:val="0"/>
    <w:rPr>
      <w:rFonts w:ascii="Microsoft YaHei UI" w:hAnsi="Tahoma" w:eastAsia="Microsoft YaHei UI" w:cstheme="minorBidi"/>
      <w:sz w:val="18"/>
      <w:szCs w:val="18"/>
    </w:rPr>
  </w:style>
  <w:style w:type="paragraph" w:customStyle="1" w:styleId="45">
    <w:name w:val="Table Paragraph"/>
    <w:basedOn w:val="1"/>
    <w:qFormat/>
    <w:uiPriority w:val="1"/>
    <w:pPr>
      <w:widowControl w:val="0"/>
      <w:adjustRightInd/>
      <w:snapToGrid/>
      <w:spacing w:after="0"/>
    </w:pPr>
    <w:rPr>
      <w:rFonts w:ascii="Calibri" w:hAnsi="Calibri" w:eastAsia="宋体" w:cs="Times New Roman"/>
      <w:lang w:eastAsia="en-US"/>
    </w:rPr>
  </w:style>
  <w:style w:type="paragraph" w:customStyle="1" w:styleId="46">
    <w:name w:val="TOC 标题1"/>
    <w:basedOn w:val="4"/>
    <w:next w:val="1"/>
    <w:unhideWhenUsed/>
    <w:qFormat/>
    <w:uiPriority w:val="39"/>
    <w:pPr>
      <w:keepNext/>
      <w:keepLines/>
      <w:adjustRightInd/>
      <w:snapToGrid/>
      <w:spacing w:before="240" w:after="0" w:line="259" w:lineRule="auto"/>
      <w:outlineLvl w:val="9"/>
    </w:pPr>
    <w:rPr>
      <w:rFonts w:asciiTheme="majorHAnsi" w:hAnsiTheme="majorHAnsi" w:eastAsiaTheme="majorEastAsia" w:cstheme="majorBidi"/>
      <w:color w:val="2E75B6" w:themeColor="accent1" w:themeShade="BF"/>
      <w:sz w:val="32"/>
      <w:szCs w:val="32"/>
    </w:rPr>
  </w:style>
  <w:style w:type="character" w:customStyle="1" w:styleId="47">
    <w:name w:val="页脚 字符"/>
    <w:basedOn w:val="24"/>
    <w:link w:val="13"/>
    <w:qFormat/>
    <w:uiPriority w:val="99"/>
    <w:rPr>
      <w:rFonts w:ascii="Tahoma" w:hAnsi="Tahoma" w:eastAsia="微软雅黑" w:cstheme="minorBidi"/>
      <w:sz w:val="18"/>
      <w:szCs w:val="18"/>
    </w:rPr>
  </w:style>
  <w:style w:type="character" w:customStyle="1" w:styleId="48">
    <w:name w:val="正文首行缩进 2 字符"/>
    <w:basedOn w:val="49"/>
    <w:link w:val="21"/>
    <w:qFormat/>
    <w:uiPriority w:val="0"/>
    <w:rPr>
      <w:rFonts w:hint="default" w:ascii="??" w:hAnsi="??" w:eastAsia="??" w:cs="??"/>
      <w:kern w:val="2"/>
      <w:sz w:val="21"/>
      <w:szCs w:val="22"/>
    </w:rPr>
  </w:style>
  <w:style w:type="character" w:customStyle="1" w:styleId="49">
    <w:name w:val="正文文本缩进 字符"/>
    <w:basedOn w:val="24"/>
    <w:link w:val="9"/>
    <w:qFormat/>
    <w:uiPriority w:val="0"/>
    <w:rPr>
      <w:rFonts w:hint="default" w:ascii="??" w:hAnsi="??" w:eastAsia="??" w:cs="??"/>
      <w:kern w:val="2"/>
      <w:sz w:val="21"/>
      <w:szCs w:val="22"/>
    </w:rPr>
  </w:style>
  <w:style w:type="paragraph" w:customStyle="1" w:styleId="50">
    <w:name w:val="正文文本缩进 2 Char Char"/>
    <w:basedOn w:val="1"/>
    <w:qFormat/>
    <w:uiPriority w:val="99"/>
    <w:pPr>
      <w:spacing w:line="480" w:lineRule="exact"/>
      <w:ind w:firstLine="560" w:firstLineChars="200"/>
    </w:pPr>
    <w:rPr>
      <w:rFonts w:cs="Times New Roman" w:asciiTheme="minorHAnsi" w:hAnsiTheme="minorHAnsi" w:eastAsiaTheme="minorEastAsi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32825C-93EF-45BC-8DD8-D3911FEB264D}">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41</Pages>
  <Words>2481</Words>
  <Characters>14144</Characters>
  <Lines>117</Lines>
  <Paragraphs>33</Paragraphs>
  <TotalTime>11</TotalTime>
  <ScaleCrop>false</ScaleCrop>
  <LinksUpToDate>false</LinksUpToDate>
  <CharactersWithSpaces>16592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2022-02-27T09:03:00Z</dcterms:created>
  <dc:creator>徐驰</dc:creator>
  <cp:lastModifiedBy>Lenovo</cp:lastModifiedBy>
  <cp:lastPrinted>2022-02-24T08:07:00Z</cp:lastPrinted>
  <dcterms:modified xsi:type="dcterms:W3CDTF">2022-08-02T02:37:55Z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50D96070DFD84BCBADF80A1E19174A1F</vt:lpwstr>
  </property>
</Properties>
</file>