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7371B">
      <w:pPr>
        <w:spacing w:before="156" w:beforeLines="50" w:after="156" w:afterLines="50" w:line="640" w:lineRule="exact"/>
        <w:ind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四川蜀道铁路运营管理集团有限责任公司</w:t>
      </w:r>
    </w:p>
    <w:p w14:paraId="7AACC034">
      <w:pPr>
        <w:spacing w:before="156" w:beforeLines="50" w:after="156" w:afterLines="50" w:line="640" w:lineRule="exact"/>
        <w:ind w:firstLine="0" w:firstLineChars="0"/>
        <w:jc w:val="center"/>
        <w:rPr>
          <w:rFonts w:hint="default" w:ascii="Times New Roman" w:hAnsi="Times New Roman" w:eastAsia="微软雅黑" w:cs="Times New Roman"/>
          <w:color w:val="000000"/>
          <w:spacing w:val="0"/>
          <w:sz w:val="44"/>
          <w:szCs w:val="44"/>
        </w:rPr>
      </w:pPr>
      <w:r>
        <w:rPr>
          <w:rFonts w:hint="eastAsia" w:ascii="方正小标宋简体" w:hAnsi="方正小标宋简体" w:eastAsia="方正小标宋简体" w:cs="方正小标宋简体"/>
          <w:color w:val="000000"/>
          <w:spacing w:val="0"/>
          <w:sz w:val="44"/>
          <w:szCs w:val="44"/>
          <w:highlight w:val="none"/>
          <w:lang w:val="en-US" w:eastAsia="zh-CN"/>
        </w:rPr>
        <w:t>关于选聘2025</w:t>
      </w:r>
      <w:r>
        <w:rPr>
          <w:rFonts w:hint="eastAsia" w:ascii="方正小标宋简体" w:hAnsi="方正小标宋简体" w:eastAsia="方正小标宋简体" w:cs="方正小标宋简体"/>
          <w:color w:val="000000"/>
          <w:spacing w:val="0"/>
          <w:sz w:val="44"/>
          <w:szCs w:val="44"/>
          <w:lang w:val="en-US" w:eastAsia="zh-CN"/>
        </w:rPr>
        <w:t>年主体</w:t>
      </w:r>
      <w:r>
        <w:rPr>
          <w:rFonts w:hint="eastAsia" w:ascii="方正小标宋简体" w:hAnsi="方正小标宋简体" w:eastAsia="方正小标宋简体" w:cs="方正小标宋简体"/>
          <w:color w:val="000000"/>
          <w:spacing w:val="0"/>
          <w:sz w:val="44"/>
          <w:szCs w:val="44"/>
          <w:lang w:eastAsia="zh-CN"/>
        </w:rPr>
        <w:t>信用评级机构</w:t>
      </w:r>
      <w:r>
        <w:rPr>
          <w:rFonts w:hint="eastAsia" w:ascii="方正小标宋简体" w:hAnsi="方正小标宋简体" w:eastAsia="方正小标宋简体" w:cs="方正小标宋简体"/>
          <w:color w:val="000000"/>
          <w:spacing w:val="0"/>
          <w:sz w:val="44"/>
          <w:szCs w:val="44"/>
        </w:rPr>
        <w:t>项目</w:t>
      </w:r>
    </w:p>
    <w:p w14:paraId="3A22BCD3">
      <w:pPr>
        <w:spacing w:before="156" w:beforeLines="50" w:after="156" w:afterLines="50" w:line="640" w:lineRule="exact"/>
        <w:ind w:firstLine="0" w:firstLineChars="0"/>
        <w:jc w:val="center"/>
        <w:rPr>
          <w:rFonts w:hint="default" w:ascii="Times New Roman" w:hAnsi="Times New Roman" w:eastAsia="微软雅黑" w:cs="Times New Roman"/>
          <w:color w:val="000000"/>
          <w:spacing w:val="0"/>
          <w:sz w:val="44"/>
          <w:szCs w:val="44"/>
        </w:rPr>
      </w:pPr>
    </w:p>
    <w:p w14:paraId="0501FF22">
      <w:pPr>
        <w:spacing w:before="156" w:beforeLines="50" w:after="156" w:afterLines="50" w:line="640" w:lineRule="exact"/>
        <w:ind w:firstLine="0" w:firstLineChars="0"/>
        <w:jc w:val="center"/>
        <w:rPr>
          <w:rFonts w:hint="default" w:ascii="Times New Roman" w:hAnsi="Times New Roman" w:eastAsia="微软雅黑" w:cs="Times New Roman"/>
          <w:color w:val="000000"/>
          <w:spacing w:val="0"/>
          <w:sz w:val="44"/>
          <w:szCs w:val="44"/>
        </w:rPr>
      </w:pPr>
    </w:p>
    <w:p w14:paraId="63FFB227">
      <w:pPr>
        <w:spacing w:before="156" w:beforeLines="50" w:after="156" w:afterLines="50" w:line="640" w:lineRule="exact"/>
        <w:ind w:firstLine="0" w:firstLineChars="0"/>
        <w:jc w:val="center"/>
        <w:rPr>
          <w:rFonts w:hint="default" w:ascii="Times New Roman" w:hAnsi="Times New Roman" w:eastAsia="微软雅黑" w:cs="Times New Roman"/>
          <w:color w:val="000000"/>
          <w:spacing w:val="0"/>
          <w:sz w:val="44"/>
          <w:szCs w:val="44"/>
        </w:rPr>
      </w:pPr>
    </w:p>
    <w:p w14:paraId="174807EB">
      <w:pPr>
        <w:spacing w:before="156" w:beforeLines="50" w:after="156" w:afterLines="50" w:line="640" w:lineRule="exact"/>
        <w:ind w:firstLine="0" w:firstLineChars="0"/>
        <w:jc w:val="center"/>
        <w:rPr>
          <w:rFonts w:hint="eastAsia" w:ascii="微软雅黑" w:hAnsi="微软雅黑" w:eastAsia="微软雅黑" w:cs="微软雅黑"/>
          <w:color w:val="000000"/>
          <w:spacing w:val="0"/>
          <w:sz w:val="84"/>
          <w:szCs w:val="84"/>
        </w:rPr>
      </w:pPr>
    </w:p>
    <w:p w14:paraId="675684F2">
      <w:pPr>
        <w:spacing w:before="0" w:beforeLines="0" w:after="0" w:afterLines="0" w:line="240" w:lineRule="auto"/>
        <w:ind w:firstLine="0" w:firstLineChars="0"/>
        <w:jc w:val="center"/>
        <w:rPr>
          <w:rFonts w:hint="eastAsia" w:ascii="方正小标宋简体" w:hAnsi="方正小标宋简体" w:eastAsia="方正小标宋简体" w:cs="方正小标宋简体"/>
          <w:color w:val="000000"/>
          <w:spacing w:val="0"/>
          <w:sz w:val="84"/>
          <w:szCs w:val="84"/>
        </w:rPr>
      </w:pPr>
      <w:r>
        <w:rPr>
          <w:rFonts w:hint="eastAsia" w:ascii="方正小标宋简体" w:hAnsi="方正小标宋简体" w:eastAsia="方正小标宋简体" w:cs="方正小标宋简体"/>
          <w:color w:val="000000"/>
          <w:spacing w:val="0"/>
          <w:sz w:val="84"/>
          <w:szCs w:val="84"/>
        </w:rPr>
        <w:t>比</w:t>
      </w:r>
      <w:r>
        <w:rPr>
          <w:rFonts w:hint="eastAsia" w:ascii="方正小标宋简体" w:hAnsi="方正小标宋简体" w:eastAsia="方正小标宋简体" w:cs="方正小标宋简体"/>
          <w:color w:val="000000"/>
          <w:spacing w:val="0"/>
          <w:sz w:val="84"/>
          <w:szCs w:val="84"/>
          <w:lang w:val="en-US" w:eastAsia="zh-CN"/>
        </w:rPr>
        <w:t xml:space="preserve"> </w:t>
      </w:r>
      <w:r>
        <w:rPr>
          <w:rFonts w:hint="eastAsia" w:ascii="方正小标宋简体" w:hAnsi="方正小标宋简体" w:eastAsia="方正小标宋简体" w:cs="方正小标宋简体"/>
          <w:color w:val="000000"/>
          <w:spacing w:val="0"/>
          <w:sz w:val="84"/>
          <w:szCs w:val="84"/>
        </w:rPr>
        <w:t>选</w:t>
      </w:r>
      <w:r>
        <w:rPr>
          <w:rFonts w:hint="eastAsia" w:ascii="方正小标宋简体" w:hAnsi="方正小标宋简体" w:eastAsia="方正小标宋简体" w:cs="方正小标宋简体"/>
          <w:color w:val="000000"/>
          <w:spacing w:val="0"/>
          <w:sz w:val="84"/>
          <w:szCs w:val="84"/>
          <w:lang w:val="en-US" w:eastAsia="zh-CN"/>
        </w:rPr>
        <w:t xml:space="preserve"> </w:t>
      </w:r>
      <w:r>
        <w:rPr>
          <w:rFonts w:hint="eastAsia" w:ascii="方正小标宋简体" w:hAnsi="方正小标宋简体" w:eastAsia="方正小标宋简体" w:cs="方正小标宋简体"/>
          <w:color w:val="000000"/>
          <w:spacing w:val="0"/>
          <w:sz w:val="84"/>
          <w:szCs w:val="84"/>
        </w:rPr>
        <w:t>文</w:t>
      </w:r>
      <w:r>
        <w:rPr>
          <w:rFonts w:hint="eastAsia" w:ascii="方正小标宋简体" w:hAnsi="方正小标宋简体" w:eastAsia="方正小标宋简体" w:cs="方正小标宋简体"/>
          <w:color w:val="000000"/>
          <w:spacing w:val="0"/>
          <w:sz w:val="84"/>
          <w:szCs w:val="84"/>
          <w:lang w:val="en-US" w:eastAsia="zh-CN"/>
        </w:rPr>
        <w:t xml:space="preserve"> </w:t>
      </w:r>
      <w:r>
        <w:rPr>
          <w:rFonts w:hint="eastAsia" w:ascii="方正小标宋简体" w:hAnsi="方正小标宋简体" w:eastAsia="方正小标宋简体" w:cs="方正小标宋简体"/>
          <w:color w:val="000000"/>
          <w:spacing w:val="0"/>
          <w:sz w:val="84"/>
          <w:szCs w:val="84"/>
        </w:rPr>
        <w:t>件</w:t>
      </w:r>
    </w:p>
    <w:p w14:paraId="71A2E55C">
      <w:pPr>
        <w:ind w:firstLine="480" w:firstLineChars="200"/>
        <w:rPr>
          <w:rFonts w:ascii="Times New Roman" w:hAnsi="Times New Roman" w:eastAsia="方正仿宋简体" w:cs="Times New Roman"/>
          <w:sz w:val="24"/>
        </w:rPr>
      </w:pPr>
    </w:p>
    <w:p w14:paraId="51A4CDBB">
      <w:pPr>
        <w:ind w:firstLine="480" w:firstLineChars="200"/>
        <w:rPr>
          <w:rFonts w:hint="default" w:ascii="Times New Roman" w:hAnsi="Times New Roman" w:eastAsia="方正仿宋简体" w:cs="Times New Roman"/>
          <w:sz w:val="24"/>
        </w:rPr>
      </w:pPr>
    </w:p>
    <w:p w14:paraId="61B84749">
      <w:pPr>
        <w:ind w:firstLine="480" w:firstLineChars="200"/>
        <w:rPr>
          <w:rFonts w:hint="default" w:ascii="Times New Roman" w:hAnsi="Times New Roman" w:eastAsia="方正仿宋简体" w:cs="Times New Roman"/>
          <w:sz w:val="24"/>
        </w:rPr>
      </w:pPr>
    </w:p>
    <w:p w14:paraId="3B7A7D7D">
      <w:pPr>
        <w:ind w:firstLine="480" w:firstLineChars="200"/>
        <w:rPr>
          <w:rFonts w:hint="default" w:ascii="Times New Roman" w:hAnsi="Times New Roman" w:eastAsia="方正仿宋简体" w:cs="Times New Roman"/>
          <w:sz w:val="24"/>
        </w:rPr>
      </w:pPr>
    </w:p>
    <w:p w14:paraId="279415CA">
      <w:pPr>
        <w:ind w:firstLine="480" w:firstLineChars="200"/>
        <w:rPr>
          <w:rFonts w:hint="default" w:ascii="Times New Roman" w:hAnsi="Times New Roman" w:eastAsia="方正仿宋简体" w:cs="Times New Roman"/>
          <w:sz w:val="24"/>
        </w:rPr>
      </w:pPr>
    </w:p>
    <w:p w14:paraId="24FDBDB8">
      <w:pPr>
        <w:ind w:firstLine="480" w:firstLineChars="200"/>
        <w:rPr>
          <w:rFonts w:ascii="Times New Roman" w:hAnsi="Times New Roman" w:eastAsia="方正仿宋简体" w:cs="Times New Roman"/>
          <w:sz w:val="24"/>
        </w:rPr>
      </w:pPr>
    </w:p>
    <w:p w14:paraId="60E82ECC">
      <w:pPr>
        <w:tabs>
          <w:tab w:val="left" w:pos="707"/>
          <w:tab w:val="center" w:pos="4680"/>
        </w:tabs>
        <w:ind w:firstLine="0" w:firstLineChars="0"/>
        <w:jc w:val="left"/>
        <w:rPr>
          <w:rFonts w:hint="default" w:ascii="Times New Roman" w:hAnsi="Times New Roman" w:eastAsia="方正仿宋简体" w:cs="Times New Roman"/>
          <w:sz w:val="24"/>
          <w:lang w:val="en-US"/>
        </w:rPr>
      </w:pPr>
      <w:r>
        <w:rPr>
          <w:rFonts w:hint="default" w:ascii="Times New Roman" w:hAnsi="Times New Roman" w:eastAsia="仿宋_GB2312" w:cs="Times New Roman"/>
          <w:lang w:eastAsia="zh-CN"/>
        </w:rPr>
        <w:tab/>
      </w:r>
      <w:r>
        <w:rPr>
          <w:rFonts w:hint="eastAsia" w:ascii="Times New Roman" w:hAnsi="Times New Roman" w:eastAsia="仿宋_GB2312" w:cs="Times New Roman"/>
          <w:lang w:val="en-US" w:eastAsia="zh-CN"/>
        </w:rPr>
        <w:t xml:space="preserve">        </w:t>
      </w:r>
    </w:p>
    <w:p w14:paraId="0FBC6A27">
      <w:pPr>
        <w:ind w:firstLine="480" w:firstLineChars="200"/>
        <w:rPr>
          <w:rFonts w:ascii="Times New Roman" w:hAnsi="Times New Roman" w:eastAsia="方正仿宋简体" w:cs="Times New Roman"/>
          <w:sz w:val="24"/>
        </w:rPr>
      </w:pPr>
    </w:p>
    <w:p w14:paraId="0B5DA237">
      <w:pPr>
        <w:ind w:firstLine="480" w:firstLineChars="200"/>
        <w:rPr>
          <w:rFonts w:ascii="Times New Roman" w:hAnsi="Times New Roman" w:eastAsia="方正仿宋简体" w:cs="Times New Roman"/>
          <w:sz w:val="24"/>
        </w:rPr>
      </w:pPr>
    </w:p>
    <w:p w14:paraId="33EE0420">
      <w:pPr>
        <w:ind w:firstLine="480" w:firstLineChars="200"/>
        <w:rPr>
          <w:rFonts w:ascii="Times New Roman" w:hAnsi="Times New Roman" w:eastAsia="方正仿宋简体" w:cs="Times New Roman"/>
          <w:sz w:val="24"/>
        </w:rPr>
      </w:pPr>
    </w:p>
    <w:p w14:paraId="2118AC65">
      <w:pPr>
        <w:ind w:firstLine="480" w:firstLineChars="200"/>
        <w:rPr>
          <w:rFonts w:ascii="Times New Roman" w:hAnsi="Times New Roman" w:eastAsia="方正仿宋简体" w:cs="Times New Roman"/>
          <w:sz w:val="24"/>
        </w:rPr>
      </w:pPr>
    </w:p>
    <w:p w14:paraId="4281E0B5">
      <w:pPr>
        <w:pStyle w:val="16"/>
        <w:rPr>
          <w:rFonts w:ascii="Times New Roman" w:hAnsi="Times New Roman" w:eastAsia="方正仿宋简体" w:cs="Times New Roman"/>
          <w:sz w:val="24"/>
        </w:rPr>
      </w:pPr>
    </w:p>
    <w:p w14:paraId="0CD6EFB5">
      <w:pPr>
        <w:pStyle w:val="16"/>
        <w:rPr>
          <w:rFonts w:ascii="Times New Roman" w:hAnsi="Times New Roman" w:eastAsia="方正仿宋简体" w:cs="Times New Roman"/>
          <w:sz w:val="24"/>
        </w:rPr>
      </w:pPr>
    </w:p>
    <w:p w14:paraId="6974F927">
      <w:pPr>
        <w:pStyle w:val="16"/>
        <w:rPr>
          <w:rFonts w:ascii="Times New Roman" w:hAnsi="Times New Roman" w:eastAsia="方正仿宋简体" w:cs="Times New Roman"/>
          <w:sz w:val="24"/>
        </w:rPr>
      </w:pPr>
    </w:p>
    <w:p w14:paraId="0C3AE25A">
      <w:pPr>
        <w:pStyle w:val="16"/>
        <w:rPr>
          <w:rFonts w:ascii="Times New Roman" w:hAnsi="Times New Roman" w:eastAsia="方正仿宋简体" w:cs="Times New Roman"/>
          <w:sz w:val="24"/>
        </w:rPr>
      </w:pPr>
    </w:p>
    <w:p w14:paraId="5266368F">
      <w:pPr>
        <w:ind w:firstLine="480" w:firstLineChars="200"/>
        <w:rPr>
          <w:rFonts w:ascii="Times New Roman" w:hAnsi="Times New Roman" w:eastAsia="方正仿宋简体" w:cs="Times New Roman"/>
          <w:sz w:val="24"/>
        </w:rPr>
      </w:pPr>
    </w:p>
    <w:p w14:paraId="4B401446">
      <w:pPr>
        <w:spacing w:before="312" w:beforeLines="100" w:line="3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四川蜀道铁路运营管理集团有限责任公司</w:t>
      </w:r>
    </w:p>
    <w:p w14:paraId="2B21BB2A">
      <w:pPr>
        <w:spacing w:before="312" w:beforeLines="100" w:line="3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2025</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9</w:t>
      </w:r>
      <w:r>
        <w:rPr>
          <w:rFonts w:hint="eastAsia" w:ascii="方正小标宋简体" w:hAnsi="方正小标宋简体" w:eastAsia="方正小标宋简体" w:cs="方正小标宋简体"/>
          <w:sz w:val="36"/>
          <w:szCs w:val="36"/>
        </w:rPr>
        <w:t>月</w:t>
      </w:r>
    </w:p>
    <w:p w14:paraId="6D3EDBFE">
      <w:pPr>
        <w:pStyle w:val="21"/>
        <w:ind w:firstLine="0" w:firstLineChars="0"/>
        <w:jc w:val="center"/>
        <w:rPr>
          <w:rFonts w:hint="eastAsia" w:ascii="方正小标宋简体" w:hAnsi="方正小标宋简体" w:eastAsia="方正小标宋简体" w:cs="方正小标宋简体"/>
          <w:color w:val="auto"/>
          <w:sz w:val="32"/>
          <w:szCs w:val="32"/>
          <w:lang w:val="zh-CN"/>
        </w:rPr>
        <w:sectPr>
          <w:headerReference r:id="rId4" w:type="first"/>
          <w:footerReference r:id="rId6" w:type="first"/>
          <w:headerReference r:id="rId3" w:type="default"/>
          <w:footerReference r:id="rId5" w:type="default"/>
          <w:pgSz w:w="11906" w:h="16838"/>
          <w:pgMar w:top="1440" w:right="1803" w:bottom="1440" w:left="1417" w:header="1134" w:footer="992" w:gutter="0"/>
          <w:pgNumType w:fmt="decimal" w:start="0"/>
          <w:cols w:space="720" w:num="1"/>
          <w:titlePg/>
          <w:docGrid w:type="lines" w:linePitch="312" w:charSpace="0"/>
        </w:sectPr>
      </w:pPr>
      <w:bookmarkStart w:id="0" w:name="_Toc28448"/>
      <w:bookmarkStart w:id="1" w:name="_Toc9855"/>
      <w:bookmarkStart w:id="2" w:name="_Toc28615"/>
      <w:bookmarkStart w:id="3" w:name="_Toc13044"/>
      <w:bookmarkStart w:id="4" w:name="_Toc358535029"/>
      <w:bookmarkStart w:id="5" w:name="_Toc358368433"/>
      <w:bookmarkStart w:id="6" w:name="_Toc358368739"/>
      <w:bookmarkStart w:id="7" w:name="_Toc183916655"/>
      <w:bookmarkStart w:id="8" w:name="_Toc500403141"/>
      <w:bookmarkStart w:id="9" w:name="_Toc358535046"/>
    </w:p>
    <w:p w14:paraId="49EB7CA0">
      <w:pPr>
        <w:pStyle w:val="21"/>
        <w:spacing w:before="0" w:line="240" w:lineRule="auto"/>
        <w:ind w:firstLine="0" w:firstLineChars="0"/>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目     录</w:t>
      </w:r>
      <w:bookmarkEnd w:id="0"/>
      <w:bookmarkEnd w:id="1"/>
      <w:bookmarkEnd w:id="2"/>
      <w:bookmarkEnd w:id="3"/>
    </w:p>
    <w:p w14:paraId="24DC29CC">
      <w:pPr>
        <w:pStyle w:val="14"/>
        <w:tabs>
          <w:tab w:val="right" w:leader="dot" w:pos="8686"/>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_Toc26895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第一章  比选公告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AD997E5">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_Toc13122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一、项目简介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_Toc13122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7AD6E9">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_Toc22432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二、</w:t>
      </w:r>
      <w:r>
        <w:rPr>
          <w:rFonts w:hint="eastAsia" w:ascii="仿宋_GB2312" w:hAnsi="仿宋_GB2312" w:eastAsia="仿宋_GB2312" w:cs="仿宋_GB2312"/>
          <w:bCs/>
          <w:sz w:val="32"/>
          <w:szCs w:val="32"/>
          <w:lang w:eastAsia="zh-CN"/>
        </w:rPr>
        <w:t>比选申请人</w:t>
      </w:r>
      <w:r>
        <w:rPr>
          <w:rFonts w:hint="eastAsia" w:ascii="仿宋_GB2312" w:hAnsi="仿宋_GB2312" w:eastAsia="仿宋_GB2312" w:cs="仿宋_GB2312"/>
          <w:bCs/>
          <w:sz w:val="32"/>
          <w:szCs w:val="32"/>
        </w:rPr>
        <w:t>资格要求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_Toc22432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33EEF8">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三、服务内容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56B932">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highlight w:val="none"/>
        </w:rPr>
        <w:t>四、</w:t>
      </w:r>
      <w:r>
        <w:rPr>
          <w:rFonts w:hint="eastAsia" w:ascii="仿宋_GB2312" w:hAnsi="仿宋_GB2312" w:eastAsia="仿宋_GB2312" w:cs="仿宋_GB2312"/>
          <w:bCs/>
          <w:sz w:val="32"/>
          <w:szCs w:val="32"/>
          <w:highlight w:val="none"/>
          <w:lang w:val="en-US" w:eastAsia="zh-Hans"/>
        </w:rPr>
        <w:t>比选文件的获取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E409CC">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五、</w:t>
      </w:r>
      <w:r>
        <w:rPr>
          <w:rFonts w:hint="eastAsia" w:ascii="仿宋_GB2312" w:hAnsi="仿宋_GB2312" w:eastAsia="仿宋_GB2312" w:cs="仿宋_GB2312"/>
          <w:bCs/>
          <w:sz w:val="32"/>
          <w:szCs w:val="32"/>
          <w:highlight w:val="none"/>
          <w:lang w:val="en-US" w:eastAsia="zh-CN"/>
        </w:rPr>
        <w:t>比选时间</w:t>
      </w:r>
      <w:r>
        <w:rPr>
          <w:rFonts w:hint="eastAsia" w:ascii="仿宋_GB2312" w:hAnsi="仿宋_GB2312" w:eastAsia="仿宋_GB2312" w:cs="仿宋_GB2312"/>
          <w:bCs/>
          <w:sz w:val="32"/>
          <w:szCs w:val="32"/>
          <w:highlight w:val="none"/>
        </w:rPr>
        <w:t>及地点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E122649">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_Toc6068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六、比选方法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EC335B3">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七、比选费用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18303D1">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八、信息发布地点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04F12A">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_Toc18274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九、比选人名称及联系方式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CF08A91">
      <w:pPr>
        <w:pStyle w:val="14"/>
        <w:tabs>
          <w:tab w:val="right" w:leader="dot" w:pos="8686"/>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 xml:space="preserve">第二章  </w:t>
      </w:r>
      <w:r>
        <w:rPr>
          <w:rFonts w:hint="eastAsia" w:ascii="仿宋_GB2312" w:hAnsi="仿宋_GB2312" w:eastAsia="仿宋_GB2312" w:cs="仿宋_GB2312"/>
          <w:bCs w:val="0"/>
          <w:sz w:val="32"/>
          <w:szCs w:val="32"/>
          <w:lang w:eastAsia="zh-CN"/>
        </w:rPr>
        <w:t>比选申请人</w:t>
      </w:r>
      <w:r>
        <w:rPr>
          <w:rFonts w:hint="eastAsia" w:ascii="仿宋_GB2312" w:hAnsi="仿宋_GB2312" w:eastAsia="仿宋_GB2312" w:cs="仿宋_GB2312"/>
          <w:bCs w:val="0"/>
          <w:sz w:val="32"/>
          <w:szCs w:val="32"/>
        </w:rPr>
        <w:t>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811557">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 服务期限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_Toc6328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9BD56C">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二、 委托的主要工作内容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179A48">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 xml:space="preserve">三、 </w:t>
      </w:r>
      <w:r>
        <w:rPr>
          <w:rFonts w:hint="eastAsia" w:ascii="仿宋_GB2312" w:hAnsi="仿宋_GB2312" w:eastAsia="仿宋_GB2312" w:cs="仿宋_GB2312"/>
          <w:bCs w:val="0"/>
          <w:sz w:val="32"/>
          <w:szCs w:val="32"/>
          <w:lang w:eastAsia="zh-CN"/>
        </w:rPr>
        <w:t>比选申请人</w:t>
      </w:r>
      <w:r>
        <w:rPr>
          <w:rFonts w:hint="eastAsia" w:ascii="仿宋_GB2312" w:hAnsi="仿宋_GB2312" w:eastAsia="仿宋_GB2312" w:cs="仿宋_GB2312"/>
          <w:bCs w:val="0"/>
          <w:sz w:val="32"/>
          <w:szCs w:val="32"/>
        </w:rPr>
        <w:t>主体资格要求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579101C">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_Toc15446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 比选金额限价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_Toc15446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78A085">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 xml:space="preserve">五、 </w:t>
      </w:r>
      <w:r>
        <w:rPr>
          <w:rFonts w:hint="eastAsia" w:ascii="仿宋_GB2312" w:hAnsi="仿宋_GB2312" w:eastAsia="仿宋_GB2312" w:cs="仿宋_GB2312"/>
          <w:bCs w:val="0"/>
          <w:sz w:val="32"/>
          <w:szCs w:val="32"/>
          <w:lang w:val="en-US"/>
        </w:rPr>
        <w:t>比选</w:t>
      </w:r>
      <w:r>
        <w:rPr>
          <w:rFonts w:hint="eastAsia" w:ascii="仿宋_GB2312" w:hAnsi="仿宋_GB2312" w:eastAsia="仿宋_GB2312" w:cs="仿宋_GB2312"/>
          <w:bCs w:val="0"/>
          <w:sz w:val="32"/>
          <w:szCs w:val="32"/>
        </w:rPr>
        <w:t>文件的答疑和补遗的发布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_Toc8457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7BB97B">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_Toc23641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 xml:space="preserve">六、 </w:t>
      </w:r>
      <w:r>
        <w:rPr>
          <w:rFonts w:hint="eastAsia" w:ascii="仿宋_GB2312" w:hAnsi="仿宋_GB2312" w:eastAsia="仿宋_GB2312" w:cs="仿宋_GB2312"/>
          <w:bCs w:val="0"/>
          <w:sz w:val="32"/>
          <w:szCs w:val="32"/>
          <w:lang w:val="en-US"/>
        </w:rPr>
        <w:t>比选</w:t>
      </w:r>
      <w:r>
        <w:rPr>
          <w:rFonts w:hint="eastAsia" w:ascii="仿宋_GB2312" w:hAnsi="仿宋_GB2312" w:eastAsia="仿宋_GB2312" w:cs="仿宋_GB2312"/>
          <w:bCs w:val="0"/>
          <w:sz w:val="32"/>
          <w:szCs w:val="32"/>
        </w:rPr>
        <w:t>文件的修改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_Toc23641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393FE1">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_Toc3619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 比选</w:t>
      </w:r>
      <w:r>
        <w:rPr>
          <w:rFonts w:hint="eastAsia" w:ascii="仿宋_GB2312" w:hAnsi="仿宋_GB2312" w:eastAsia="仿宋_GB2312" w:cs="仿宋_GB2312"/>
          <w:bCs w:val="0"/>
          <w:sz w:val="32"/>
          <w:szCs w:val="32"/>
          <w:lang w:val="en-US" w:eastAsia="zh-CN"/>
        </w:rPr>
        <w:t>申请</w:t>
      </w:r>
      <w:r>
        <w:rPr>
          <w:rFonts w:hint="eastAsia" w:ascii="仿宋_GB2312" w:hAnsi="仿宋_GB2312" w:eastAsia="仿宋_GB2312" w:cs="仿宋_GB2312"/>
          <w:bCs w:val="0"/>
          <w:sz w:val="32"/>
          <w:szCs w:val="32"/>
        </w:rPr>
        <w:t>人的认可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_Toc3619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052882">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_Toc11719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 xml:space="preserve">八、 </w:t>
      </w:r>
      <w:r>
        <w:rPr>
          <w:rFonts w:hint="eastAsia" w:ascii="仿宋_GB2312" w:hAnsi="仿宋_GB2312" w:eastAsia="仿宋_GB2312" w:cs="仿宋_GB2312"/>
          <w:bCs w:val="0"/>
          <w:sz w:val="32"/>
          <w:szCs w:val="32"/>
          <w:lang w:eastAsia="zh-CN"/>
        </w:rPr>
        <w:t>比选申请文件</w:t>
      </w:r>
      <w:r>
        <w:rPr>
          <w:rFonts w:hint="eastAsia" w:ascii="仿宋_GB2312" w:hAnsi="仿宋_GB2312" w:eastAsia="仿宋_GB2312" w:cs="仿宋_GB2312"/>
          <w:bCs w:val="0"/>
          <w:sz w:val="32"/>
          <w:szCs w:val="32"/>
        </w:rPr>
        <w:t>编制及提交要求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B2F6FD7">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_Toc20295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 比选费用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1E3C14">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十、 比选申请文件的开启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896E44">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_Toc20778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 评审及谈判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44EC290">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_Toc16724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rPr>
        <w:t xml:space="preserve">十二、 </w:t>
      </w:r>
      <w:r>
        <w:rPr>
          <w:rFonts w:hint="eastAsia" w:ascii="仿宋_GB2312" w:hAnsi="仿宋_GB2312" w:eastAsia="仿宋_GB2312" w:cs="仿宋_GB2312"/>
          <w:bCs w:val="0"/>
          <w:sz w:val="32"/>
          <w:szCs w:val="32"/>
          <w:lang w:val="en-US" w:eastAsia="zh-CN"/>
        </w:rPr>
        <w:t>中选通知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_Toc16724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B9E6B73">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十三、 签订合同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F58F5D">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_Toc11859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十四、 其他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EDE0630">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十五、 联系方式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_Toc21337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FA90CA">
      <w:pPr>
        <w:pStyle w:val="14"/>
        <w:tabs>
          <w:tab w:val="right" w:leader="dot" w:pos="8686"/>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_Toc18231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第三章  评审与中选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FA269A">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_Toc30783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一、评审委员会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BA85A7">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二、评审方法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4750245">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_Toc7824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三、评审过程的保密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_Toc7824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96FF7F">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_Toc8671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四、中选通知与合同授予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8AEBD7">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五、不正当竞争与纪律监督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F8F567">
      <w:pPr>
        <w:pStyle w:val="14"/>
        <w:tabs>
          <w:tab w:val="right" w:leader="dot" w:pos="8686"/>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_Toc5103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 xml:space="preserve">第四章  </w:t>
      </w:r>
      <w:r>
        <w:rPr>
          <w:rFonts w:hint="eastAsia" w:ascii="仿宋_GB2312" w:hAnsi="仿宋_GB2312" w:eastAsia="仿宋_GB2312" w:cs="仿宋_GB2312"/>
          <w:bCs w:val="0"/>
          <w:sz w:val="32"/>
          <w:szCs w:val="32"/>
        </w:rPr>
        <w:t>比选申请文件格式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2839FF">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_Toc19501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（一）比选申请文件封面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_Toc19501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E61EF5">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（二）目录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A99B07">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_Toc10002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）比选申请书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_Toc10002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6C87733">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_Toc26920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）比选承诺函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779EFD">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_Toc16432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（五）法定代表人</w:t>
      </w:r>
      <w:r>
        <w:rPr>
          <w:rFonts w:hint="eastAsia" w:ascii="仿宋_GB2312" w:hAnsi="仿宋_GB2312" w:eastAsia="仿宋_GB2312" w:cs="仿宋_GB2312"/>
          <w:sz w:val="32"/>
          <w:szCs w:val="32"/>
          <w:lang w:eastAsia="zh-CN"/>
        </w:rPr>
        <w:t>授权书（</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_Toc16432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AB01AD">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）主体资格证明文件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85500D">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（七）评级资质</w:t>
      </w:r>
      <w:r>
        <w:rPr>
          <w:rFonts w:hint="eastAsia" w:ascii="仿宋_GB2312" w:hAnsi="仿宋_GB2312" w:eastAsia="仿宋_GB2312" w:cs="仿宋_GB2312"/>
          <w:sz w:val="32"/>
          <w:szCs w:val="32"/>
          <w:lang w:eastAsia="zh-CN"/>
        </w:rPr>
        <w:t>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C5E403">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）服务费用报价函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F49F79">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_Toc8093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2"/>
          <w:sz w:val="32"/>
          <w:szCs w:val="32"/>
          <w:lang w:val="en-US" w:eastAsia="zh-CN" w:bidi="ar-SA"/>
        </w:rPr>
        <w:t>（九）</w:t>
      </w:r>
      <w:r>
        <w:rPr>
          <w:rFonts w:hint="eastAsia" w:ascii="仿宋_GB2312" w:hAnsi="仿宋_GB2312" w:eastAsia="仿宋_GB2312" w:cs="仿宋_GB2312"/>
          <w:sz w:val="32"/>
          <w:szCs w:val="32"/>
          <w:lang w:val="en-US" w:eastAsia="zh-CN"/>
        </w:rPr>
        <w:t>人员配置情况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2114F1F">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_Toc7786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（十）类似业绩证明材料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E8ED9B">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_Toc4007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项目服务方案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_Toc4007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5C06F0">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_Toc20151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最终报价表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_Toc20151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9C8013">
      <w:pPr>
        <w:pStyle w:val="15"/>
        <w:tabs>
          <w:tab w:val="right" w:leader="dot" w:pos="8686"/>
          <w:tab w:val="clear" w:pos="9174"/>
        </w:tabs>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（十三）其他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85EE3E">
      <w:pPr>
        <w:pStyle w:val="14"/>
        <w:tabs>
          <w:tab w:val="right" w:leader="dot" w:pos="8686"/>
        </w:tabs>
        <w:spacing w:line="570" w:lineRule="exact"/>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_Toc15163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第五章  合同条款及格式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_Toc15163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DEA7D20">
      <w:pPr>
        <w:spacing w:line="570" w:lineRule="exact"/>
        <w:rPr>
          <w:rFonts w:ascii="Times New Roman" w:hAnsi="Times New Roman" w:eastAsia="仿宋_GB2312" w:cs="Times New Roman"/>
          <w:sz w:val="32"/>
          <w:szCs w:val="32"/>
          <w:lang w:val="zh-CN"/>
        </w:rPr>
        <w:sectPr>
          <w:footerReference r:id="rId7" w:type="default"/>
          <w:pgSz w:w="11906" w:h="16838"/>
          <w:pgMar w:top="1440" w:right="1803" w:bottom="1440" w:left="1417" w:header="1134" w:footer="992" w:gutter="0"/>
          <w:pgNumType w:fmt="decimal" w:start="1"/>
          <w:cols w:space="720" w:num="1"/>
          <w:docGrid w:type="lines" w:linePitch="312" w:charSpace="0"/>
        </w:sectPr>
      </w:pPr>
      <w:r>
        <w:rPr>
          <w:rFonts w:hint="eastAsia" w:ascii="仿宋_GB2312" w:hAnsi="仿宋_GB2312" w:eastAsia="仿宋_GB2312" w:cs="仿宋_GB2312"/>
          <w:szCs w:val="32"/>
        </w:rPr>
        <w:fldChar w:fldCharType="end"/>
      </w:r>
      <w:bookmarkStart w:id="10" w:name="_Toc358535020"/>
      <w:bookmarkStart w:id="11" w:name="_Toc358368395"/>
    </w:p>
    <w:p w14:paraId="234ACF39">
      <w:pPr>
        <w:pStyle w:val="2"/>
        <w:spacing w:before="0" w:beforeLines="0" w:after="0" w:afterLines="0" w:line="240" w:lineRule="auto"/>
        <w:ind w:firstLine="0" w:firstLineChars="0"/>
        <w:jc w:val="center"/>
        <w:rPr>
          <w:rFonts w:hint="eastAsia" w:ascii="方正小标宋简体" w:hAnsi="方正小标宋简体" w:eastAsia="方正小标宋简体" w:cs="方正小标宋简体"/>
          <w:b w:val="0"/>
          <w:bCs w:val="0"/>
          <w:sz w:val="44"/>
          <w:szCs w:val="44"/>
        </w:rPr>
      </w:pPr>
      <w:bookmarkStart w:id="12" w:name="_Toc503280705"/>
      <w:bookmarkStart w:id="13" w:name="_Toc26126"/>
      <w:bookmarkStart w:id="14" w:name="_Toc15593"/>
      <w:bookmarkStart w:id="15" w:name="_Toc29286"/>
      <w:bookmarkStart w:id="16" w:name="_Toc24356"/>
      <w:bookmarkStart w:id="17" w:name="_Toc30720"/>
      <w:bookmarkStart w:id="18" w:name="_Toc26895"/>
      <w:bookmarkStart w:id="19" w:name="_Toc29061"/>
      <w:bookmarkStart w:id="20" w:name="_Toc25567"/>
      <w:bookmarkStart w:id="21" w:name="_Toc18582"/>
      <w:bookmarkStart w:id="22" w:name="_Toc15953"/>
      <w:bookmarkStart w:id="23" w:name="_Toc3514"/>
      <w:bookmarkStart w:id="24" w:name="_Toc27490"/>
      <w:bookmarkStart w:id="25" w:name="_Toc1109"/>
      <w:bookmarkStart w:id="26" w:name="_Toc22682"/>
      <w:bookmarkStart w:id="27" w:name="_Toc31660"/>
      <w:bookmarkStart w:id="28" w:name="_Toc13409"/>
      <w:bookmarkStart w:id="29" w:name="_Toc26667"/>
      <w:bookmarkStart w:id="30" w:name="_Toc2939"/>
      <w:bookmarkStart w:id="31" w:name="_Toc29464"/>
      <w:bookmarkStart w:id="32" w:name="_Toc13807"/>
      <w:bookmarkStart w:id="33" w:name="_Toc28017"/>
      <w:bookmarkStart w:id="34" w:name="_Toc30656"/>
      <w:bookmarkStart w:id="35" w:name="_Toc6013"/>
      <w:bookmarkStart w:id="36" w:name="_Toc4048"/>
      <w:bookmarkStart w:id="37" w:name="_Toc22570"/>
      <w:r>
        <w:rPr>
          <w:rFonts w:hint="eastAsia" w:ascii="方正小标宋简体" w:hAnsi="方正小标宋简体" w:eastAsia="方正小标宋简体" w:cs="方正小标宋简体"/>
          <w:b w:val="0"/>
          <w:bCs w:val="0"/>
          <w:sz w:val="44"/>
          <w:szCs w:val="44"/>
        </w:rPr>
        <w:t>第一章  比选公告</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BFC68E2">
      <w:pPr>
        <w:keepNext w:val="0"/>
        <w:keepLines w:val="0"/>
        <w:pageBreakBefore w:val="0"/>
        <w:widowControl w:val="0"/>
        <w:kinsoku/>
        <w:wordWrap/>
        <w:overflowPunct/>
        <w:topLinePunct w:val="0"/>
        <w:autoSpaceDE/>
        <w:autoSpaceDN/>
        <w:bidi w:val="0"/>
        <w:adjustRightInd/>
        <w:snapToGrid/>
        <w:spacing w:before="0" w:beforeLines="0" w:line="570" w:lineRule="exact"/>
        <w:ind w:firstLine="640" w:firstLineChars="200"/>
        <w:textAlignment w:val="auto"/>
        <w:rPr>
          <w:rFonts w:hint="eastAsia" w:ascii="仿宋_GB2312" w:hAnsi="仿宋_GB2312" w:eastAsia="仿宋_GB2312" w:cs="仿宋_GB2312"/>
          <w:sz w:val="32"/>
          <w:szCs w:val="32"/>
        </w:rPr>
      </w:pPr>
      <w:bookmarkStart w:id="38" w:name="_Toc358535022"/>
      <w:r>
        <w:rPr>
          <w:rFonts w:hint="eastAsia" w:ascii="仿宋_GB2312" w:hAnsi="仿宋_GB2312" w:eastAsia="仿宋_GB2312" w:cs="仿宋_GB2312"/>
          <w:sz w:val="32"/>
          <w:szCs w:val="32"/>
          <w:lang w:val="en-US" w:eastAsia="zh-CN"/>
        </w:rPr>
        <w:t>四川蜀道铁路运营管理集团有限责任公司</w:t>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lang w:eastAsia="zh-CN"/>
        </w:rPr>
        <w:t>比选人</w:t>
      </w:r>
      <w:r>
        <w:rPr>
          <w:rFonts w:hint="eastAsia" w:ascii="仿宋_GB2312" w:hAnsi="仿宋_GB2312" w:eastAsia="仿宋_GB2312" w:cs="仿宋_GB2312"/>
          <w:color w:val="000000"/>
          <w:sz w:val="32"/>
          <w:szCs w:val="32"/>
        </w:rPr>
        <w:t>”），本着“公平、公正、公开”的原则，拟通过公开</w:t>
      </w:r>
      <w:r>
        <w:rPr>
          <w:rFonts w:hint="eastAsia" w:ascii="仿宋_GB2312" w:hAnsi="仿宋_GB2312" w:eastAsia="仿宋_GB2312" w:cs="仿宋_GB2312"/>
          <w:color w:val="000000"/>
          <w:sz w:val="32"/>
          <w:szCs w:val="32"/>
          <w:lang w:val="en-US" w:eastAsia="zh-CN"/>
        </w:rPr>
        <w:t>比选</w:t>
      </w:r>
      <w:r>
        <w:rPr>
          <w:rFonts w:hint="eastAsia" w:ascii="仿宋_GB2312" w:hAnsi="仿宋_GB2312" w:eastAsia="仿宋_GB2312" w:cs="仿宋_GB2312"/>
          <w:color w:val="000000"/>
          <w:sz w:val="32"/>
          <w:szCs w:val="32"/>
        </w:rPr>
        <w:t>方式</w:t>
      </w:r>
      <w:r>
        <w:rPr>
          <w:rFonts w:hint="eastAsia" w:ascii="仿宋_GB2312" w:hAnsi="仿宋_GB2312" w:eastAsia="仿宋_GB2312" w:cs="仿宋_GB2312"/>
          <w:color w:val="000000"/>
          <w:sz w:val="32"/>
          <w:szCs w:val="32"/>
          <w:lang w:val="en-US" w:eastAsia="zh-CN"/>
        </w:rPr>
        <w:t>选聘“</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val="en-US" w:eastAsia="zh-CN"/>
        </w:rPr>
        <w:t>主体信用</w:t>
      </w:r>
      <w:r>
        <w:rPr>
          <w:rFonts w:hint="eastAsia" w:ascii="仿宋_GB2312" w:hAnsi="仿宋_GB2312" w:eastAsia="仿宋_GB2312" w:cs="仿宋_GB2312"/>
          <w:color w:val="000000"/>
          <w:sz w:val="32"/>
          <w:szCs w:val="32"/>
        </w:rPr>
        <w:t>评级</w:t>
      </w:r>
      <w:r>
        <w:rPr>
          <w:rFonts w:hint="eastAsia" w:ascii="仿宋_GB2312" w:hAnsi="仿宋_GB2312" w:eastAsia="仿宋_GB2312" w:cs="仿宋_GB2312"/>
          <w:color w:val="000000"/>
          <w:sz w:val="32"/>
          <w:szCs w:val="32"/>
          <w:lang w:val="en-US" w:eastAsia="zh-CN"/>
        </w:rPr>
        <w:t>”的评级</w:t>
      </w:r>
      <w:r>
        <w:rPr>
          <w:rFonts w:hint="eastAsia" w:ascii="仿宋_GB2312" w:hAnsi="仿宋_GB2312" w:eastAsia="仿宋_GB2312" w:cs="仿宋_GB2312"/>
          <w:color w:val="000000"/>
          <w:sz w:val="32"/>
          <w:szCs w:val="32"/>
        </w:rPr>
        <w:t>机构，</w:t>
      </w:r>
      <w:r>
        <w:rPr>
          <w:rFonts w:hint="eastAsia" w:ascii="仿宋_GB2312" w:hAnsi="仿宋_GB2312" w:eastAsia="仿宋_GB2312" w:cs="仿宋_GB2312"/>
          <w:color w:val="000000"/>
          <w:sz w:val="32"/>
          <w:szCs w:val="32"/>
          <w:lang w:val="en-US" w:eastAsia="zh-CN"/>
        </w:rPr>
        <w:t>本项目已具备比选条件，</w:t>
      </w:r>
      <w:r>
        <w:rPr>
          <w:rFonts w:hint="eastAsia" w:ascii="仿宋_GB2312" w:hAnsi="仿宋_GB2312" w:eastAsia="仿宋_GB2312" w:cs="仿宋_GB2312"/>
          <w:color w:val="000000"/>
          <w:sz w:val="32"/>
          <w:szCs w:val="32"/>
        </w:rPr>
        <w:t>现诚邀符合</w:t>
      </w:r>
      <w:r>
        <w:rPr>
          <w:rFonts w:hint="eastAsia" w:ascii="仿宋_GB2312" w:hAnsi="仿宋_GB2312" w:eastAsia="仿宋_GB2312" w:cs="仿宋_GB2312"/>
          <w:color w:val="000000"/>
          <w:sz w:val="32"/>
          <w:szCs w:val="32"/>
          <w:lang w:eastAsia="zh-CN"/>
        </w:rPr>
        <w:t>比选</w:t>
      </w:r>
      <w:r>
        <w:rPr>
          <w:rFonts w:hint="eastAsia" w:ascii="仿宋_GB2312" w:hAnsi="仿宋_GB2312" w:eastAsia="仿宋_GB2312" w:cs="仿宋_GB2312"/>
          <w:color w:val="000000"/>
          <w:sz w:val="32"/>
          <w:szCs w:val="32"/>
        </w:rPr>
        <w:t>条件的机构，按</w:t>
      </w:r>
      <w:r>
        <w:rPr>
          <w:rFonts w:hint="eastAsia" w:ascii="仿宋_GB2312" w:hAnsi="仿宋_GB2312" w:eastAsia="仿宋_GB2312" w:cs="仿宋_GB2312"/>
          <w:color w:val="000000"/>
          <w:sz w:val="32"/>
          <w:szCs w:val="32"/>
          <w:lang w:eastAsia="zh-CN"/>
        </w:rPr>
        <w:t>比选</w:t>
      </w:r>
      <w:r>
        <w:rPr>
          <w:rFonts w:hint="eastAsia" w:ascii="仿宋_GB2312" w:hAnsi="仿宋_GB2312" w:eastAsia="仿宋_GB2312" w:cs="仿宋_GB2312"/>
          <w:color w:val="000000"/>
          <w:sz w:val="32"/>
          <w:szCs w:val="32"/>
        </w:rPr>
        <w:t>公告及</w:t>
      </w:r>
      <w:r>
        <w:rPr>
          <w:rFonts w:hint="eastAsia" w:ascii="仿宋_GB2312" w:hAnsi="仿宋_GB2312" w:eastAsia="仿宋_GB2312" w:cs="仿宋_GB2312"/>
          <w:color w:val="000000"/>
          <w:sz w:val="32"/>
          <w:szCs w:val="32"/>
          <w:lang w:eastAsia="zh-CN"/>
        </w:rPr>
        <w:t>比选</w:t>
      </w:r>
      <w:r>
        <w:rPr>
          <w:rFonts w:hint="eastAsia" w:ascii="仿宋_GB2312" w:hAnsi="仿宋_GB2312" w:eastAsia="仿宋_GB2312" w:cs="仿宋_GB2312"/>
          <w:color w:val="000000"/>
          <w:sz w:val="32"/>
          <w:szCs w:val="32"/>
        </w:rPr>
        <w:t>文件的要求参加本次</w:t>
      </w:r>
      <w:r>
        <w:rPr>
          <w:rFonts w:hint="eastAsia" w:ascii="仿宋_GB2312" w:hAnsi="仿宋_GB2312" w:eastAsia="仿宋_GB2312" w:cs="仿宋_GB2312"/>
          <w:color w:val="000000"/>
          <w:sz w:val="32"/>
          <w:szCs w:val="32"/>
          <w:lang w:eastAsia="zh-CN"/>
        </w:rPr>
        <w:t>比选</w:t>
      </w:r>
      <w:r>
        <w:rPr>
          <w:rFonts w:hint="eastAsia" w:ascii="仿宋_GB2312" w:hAnsi="仿宋_GB2312" w:eastAsia="仿宋_GB2312" w:cs="仿宋_GB2312"/>
          <w:color w:val="000000"/>
          <w:sz w:val="32"/>
          <w:szCs w:val="32"/>
        </w:rPr>
        <w:t xml:space="preserve">。 </w:t>
      </w:r>
    </w:p>
    <w:p w14:paraId="1D9AB4F2">
      <w:pPr>
        <w:pStyle w:val="3"/>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000000"/>
          <w:sz w:val="32"/>
          <w:szCs w:val="32"/>
        </w:rPr>
      </w:pPr>
      <w:bookmarkStart w:id="39" w:name="_Toc29251"/>
      <w:bookmarkStart w:id="40" w:name="_Toc29914"/>
      <w:bookmarkStart w:id="41" w:name="_Toc24597"/>
      <w:bookmarkStart w:id="42" w:name="_Toc27053"/>
      <w:bookmarkStart w:id="43" w:name="_Toc14508"/>
      <w:bookmarkStart w:id="44" w:name="_Toc10777"/>
      <w:bookmarkStart w:id="45" w:name="_Toc23206"/>
      <w:bookmarkStart w:id="46" w:name="_Toc11219"/>
      <w:bookmarkStart w:id="47" w:name="_Toc7705"/>
      <w:bookmarkStart w:id="48" w:name="_Toc16143"/>
      <w:bookmarkStart w:id="49" w:name="_Toc19990"/>
      <w:bookmarkStart w:id="50" w:name="_Toc5404"/>
      <w:bookmarkStart w:id="51" w:name="_Toc13122"/>
      <w:bookmarkStart w:id="52" w:name="_Toc20148"/>
      <w:bookmarkStart w:id="53" w:name="_Toc9791"/>
      <w:bookmarkStart w:id="54" w:name="_Toc30728"/>
      <w:bookmarkStart w:id="55" w:name="_Toc995"/>
      <w:bookmarkStart w:id="56" w:name="_Toc22746"/>
      <w:bookmarkStart w:id="57" w:name="_Toc26201"/>
      <w:bookmarkStart w:id="58" w:name="_Toc1955"/>
      <w:bookmarkStart w:id="59" w:name="_Toc6218"/>
      <w:bookmarkStart w:id="60" w:name="_Toc29953"/>
      <w:bookmarkStart w:id="61" w:name="_Toc31285"/>
      <w:bookmarkStart w:id="62" w:name="_Toc11384"/>
      <w:r>
        <w:rPr>
          <w:rFonts w:hint="eastAsia" w:ascii="黑体" w:hAnsi="黑体" w:eastAsia="黑体" w:cs="黑体"/>
          <w:b w:val="0"/>
          <w:bCs/>
          <w:color w:val="000000"/>
          <w:sz w:val="32"/>
          <w:szCs w:val="32"/>
        </w:rPr>
        <w:t>一、项目简介</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8296A74">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val="en-US" w:eastAsia="zh-CN"/>
        </w:rPr>
        <w:t>一</w:t>
      </w:r>
      <w:r>
        <w:rPr>
          <w:rFonts w:hint="default" w:ascii="Times New Roman" w:hAnsi="Times New Roman" w:eastAsia="仿宋_GB2312" w:cs="Times New Roman"/>
          <w:b w:val="0"/>
          <w:bCs/>
          <w:color w:val="000000"/>
          <w:sz w:val="32"/>
          <w:szCs w:val="32"/>
          <w:lang w:eastAsia="zh-CN"/>
        </w:rPr>
        <w:t>）比选人</w:t>
      </w:r>
      <w:r>
        <w:rPr>
          <w:rFonts w:hint="default" w:ascii="Times New Roman" w:hAnsi="Times New Roman" w:eastAsia="仿宋_GB2312" w:cs="Times New Roman"/>
          <w:b w:val="0"/>
          <w:bCs/>
          <w:color w:val="000000"/>
          <w:sz w:val="32"/>
          <w:szCs w:val="32"/>
        </w:rPr>
        <w:t>名称：</w:t>
      </w:r>
      <w:r>
        <w:rPr>
          <w:rFonts w:hint="default" w:ascii="Times New Roman" w:hAnsi="Times New Roman" w:eastAsia="仿宋_GB2312" w:cs="Times New Roman"/>
          <w:b w:val="0"/>
          <w:bCs/>
          <w:color w:val="000000"/>
          <w:sz w:val="32"/>
          <w:szCs w:val="32"/>
          <w:lang w:val="en-US" w:eastAsia="zh-CN"/>
        </w:rPr>
        <w:t>四川蜀道铁路运营管理集团有限责任公司</w:t>
      </w:r>
    </w:p>
    <w:p w14:paraId="64B54965">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bCs/>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（二）</w:t>
      </w:r>
      <w:r>
        <w:rPr>
          <w:rFonts w:hint="default" w:ascii="Times New Roman" w:hAnsi="Times New Roman" w:eastAsia="仿宋_GB2312" w:cs="Times New Roman"/>
          <w:b w:val="0"/>
          <w:bCs/>
          <w:color w:val="000000"/>
          <w:sz w:val="32"/>
          <w:szCs w:val="32"/>
          <w:lang w:eastAsia="zh-CN"/>
        </w:rPr>
        <w:t>比选人</w:t>
      </w:r>
      <w:r>
        <w:rPr>
          <w:rFonts w:hint="default" w:ascii="Times New Roman" w:hAnsi="Times New Roman" w:eastAsia="仿宋_GB2312" w:cs="Times New Roman"/>
          <w:b w:val="0"/>
          <w:bCs/>
          <w:color w:val="000000"/>
          <w:sz w:val="32"/>
          <w:szCs w:val="32"/>
        </w:rPr>
        <w:t>地址：</w:t>
      </w:r>
      <w:r>
        <w:rPr>
          <w:rFonts w:hint="default" w:ascii="Times New Roman" w:hAnsi="Times New Roman" w:eastAsia="仿宋_GB2312" w:cs="Times New Roman"/>
          <w:bCs/>
          <w:color w:val="000000"/>
          <w:sz w:val="32"/>
          <w:szCs w:val="32"/>
        </w:rPr>
        <w:t>四川省</w:t>
      </w:r>
      <w:r>
        <w:rPr>
          <w:rFonts w:hint="default" w:ascii="Times New Roman" w:hAnsi="Times New Roman" w:eastAsia="仿宋_GB2312" w:cs="Times New Roman"/>
          <w:bCs/>
          <w:color w:val="000000"/>
          <w:sz w:val="32"/>
          <w:szCs w:val="32"/>
          <w:highlight w:val="none"/>
        </w:rPr>
        <w:t>成都市</w:t>
      </w:r>
      <w:r>
        <w:rPr>
          <w:rFonts w:hint="default" w:ascii="Times New Roman" w:hAnsi="Times New Roman" w:eastAsia="仿宋_GB2312" w:cs="Times New Roman"/>
          <w:bCs/>
          <w:color w:val="000000"/>
          <w:sz w:val="32"/>
          <w:szCs w:val="32"/>
          <w:highlight w:val="none"/>
          <w:lang w:val="en-US" w:eastAsia="zh-CN"/>
        </w:rPr>
        <w:t>高新区两江国际A座23层</w:t>
      </w:r>
    </w:p>
    <w:p w14:paraId="5DF833E3">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Cs/>
          <w:color w:val="000000"/>
          <w:sz w:val="32"/>
          <w:szCs w:val="32"/>
          <w:highlight w:val="none"/>
        </w:rPr>
        <w:t>（三）</w:t>
      </w:r>
      <w:r>
        <w:rPr>
          <w:rFonts w:hint="default" w:ascii="Times New Roman" w:hAnsi="Times New Roman" w:eastAsia="仿宋_GB2312" w:cs="Times New Roman"/>
          <w:b w:val="0"/>
          <w:bCs/>
          <w:color w:val="000000"/>
          <w:sz w:val="32"/>
          <w:szCs w:val="32"/>
          <w:highlight w:val="none"/>
        </w:rPr>
        <w:t>项目名称：</w:t>
      </w:r>
      <w:r>
        <w:rPr>
          <w:rFonts w:hint="default" w:ascii="Times New Roman" w:hAnsi="Times New Roman" w:eastAsia="仿宋_GB2312" w:cs="Times New Roman"/>
          <w:color w:val="000000"/>
          <w:sz w:val="32"/>
          <w:szCs w:val="32"/>
          <w:highlight w:val="none"/>
          <w:lang w:val="en-US" w:eastAsia="zh-CN"/>
        </w:rPr>
        <w:t>四川蜀道铁路运营管理集团有限责任公司选聘2025年主体信用评级机构项目</w:t>
      </w:r>
    </w:p>
    <w:p w14:paraId="518166E9">
      <w:pPr>
        <w:pStyle w:val="3"/>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000000"/>
          <w:sz w:val="32"/>
          <w:szCs w:val="32"/>
        </w:rPr>
      </w:pPr>
      <w:bookmarkStart w:id="63" w:name="_Toc5899"/>
      <w:bookmarkStart w:id="64" w:name="_Toc28243"/>
      <w:bookmarkStart w:id="65" w:name="_Toc4716"/>
      <w:bookmarkStart w:id="66" w:name="_Toc19090"/>
      <w:bookmarkStart w:id="67" w:name="_Toc18233"/>
      <w:bookmarkStart w:id="68" w:name="_Toc22432"/>
      <w:bookmarkStart w:id="69" w:name="_Toc681"/>
      <w:bookmarkStart w:id="70" w:name="_Toc16612"/>
      <w:bookmarkStart w:id="71" w:name="_Toc18294"/>
      <w:bookmarkStart w:id="72" w:name="_Toc12712"/>
      <w:bookmarkStart w:id="73" w:name="_Toc29590"/>
      <w:bookmarkStart w:id="74" w:name="_Toc27675"/>
      <w:bookmarkStart w:id="75" w:name="_Toc5517"/>
      <w:bookmarkStart w:id="76" w:name="_Toc3039"/>
      <w:bookmarkStart w:id="77" w:name="_Toc21369"/>
      <w:bookmarkStart w:id="78" w:name="_Toc31737"/>
      <w:bookmarkStart w:id="79" w:name="_Toc13513"/>
      <w:bookmarkStart w:id="80" w:name="_Toc7268"/>
      <w:bookmarkStart w:id="81" w:name="_Toc2795"/>
      <w:bookmarkStart w:id="82" w:name="_Toc23487"/>
      <w:bookmarkStart w:id="83" w:name="_Toc1870"/>
      <w:bookmarkStart w:id="84" w:name="_Toc11420"/>
      <w:bookmarkStart w:id="85" w:name="_Toc10658"/>
      <w:bookmarkStart w:id="86" w:name="_Toc1009"/>
      <w:r>
        <w:rPr>
          <w:rFonts w:hint="eastAsia" w:ascii="黑体" w:hAnsi="黑体" w:eastAsia="黑体" w:cs="黑体"/>
          <w:b w:val="0"/>
          <w:bCs/>
          <w:color w:val="000000"/>
          <w:sz w:val="32"/>
          <w:szCs w:val="32"/>
        </w:rPr>
        <w:t>二、</w:t>
      </w:r>
      <w:r>
        <w:rPr>
          <w:rFonts w:hint="eastAsia" w:ascii="黑体" w:hAnsi="黑体" w:eastAsia="黑体" w:cs="黑体"/>
          <w:b w:val="0"/>
          <w:bCs/>
          <w:color w:val="000000"/>
          <w:sz w:val="32"/>
          <w:szCs w:val="32"/>
          <w:lang w:eastAsia="zh-CN"/>
        </w:rPr>
        <w:t>比选申请人</w:t>
      </w:r>
      <w:r>
        <w:rPr>
          <w:rFonts w:hint="eastAsia" w:ascii="黑体" w:hAnsi="黑体" w:eastAsia="黑体" w:cs="黑体"/>
          <w:b w:val="0"/>
          <w:bCs/>
          <w:color w:val="000000"/>
          <w:sz w:val="32"/>
          <w:szCs w:val="32"/>
        </w:rPr>
        <w:t>资格要求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70B7233">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（一）在中国境内注册，具有独立法人资格；</w:t>
      </w:r>
    </w:p>
    <w:p w14:paraId="6AEC1739">
      <w:pPr>
        <w:keepLines w:val="0"/>
        <w:pageBreakBefore w:val="0"/>
        <w:widowControl w:val="0"/>
        <w:kinsoku/>
        <w:wordWrap/>
        <w:overflowPunct/>
        <w:topLinePunct w:val="0"/>
        <w:autoSpaceDE/>
        <w:autoSpaceDN/>
        <w:bidi w:val="0"/>
        <w:adjustRightInd/>
        <w:snapToGrid w:val="0"/>
        <w:spacing w:line="570" w:lineRule="exact"/>
        <w:ind w:left="0"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w:t>
      </w:r>
      <w:r>
        <w:rPr>
          <w:rFonts w:hint="default" w:ascii="Times New Roman" w:hAnsi="Times New Roman" w:eastAsia="仿宋_GB2312" w:cs="Times New Roman"/>
          <w:color w:val="000000"/>
          <w:sz w:val="32"/>
          <w:szCs w:val="32"/>
          <w:highlight w:val="none"/>
          <w:lang w:val="en-US" w:eastAsia="zh-CN"/>
        </w:rPr>
        <w:t>评级业务资质：</w:t>
      </w:r>
      <w:r>
        <w:rPr>
          <w:rFonts w:hint="default" w:ascii="Times New Roman" w:hAnsi="Times New Roman" w:eastAsia="仿宋_GB2312" w:cs="Times New Roman"/>
          <w:sz w:val="32"/>
          <w:szCs w:val="32"/>
        </w:rPr>
        <w:t>由中国证券监督管理委员会及中国银行间市场交易商协会认定的具有开展评级业务资质的评级机构</w:t>
      </w:r>
      <w:r>
        <w:rPr>
          <w:rFonts w:hint="default" w:ascii="Times New Roman" w:hAnsi="Times New Roman" w:eastAsia="仿宋_GB2312" w:cs="Times New Roman"/>
          <w:sz w:val="32"/>
          <w:szCs w:val="32"/>
          <w:lang w:eastAsia="zh-CN"/>
        </w:rPr>
        <w:t>；</w:t>
      </w:r>
    </w:p>
    <w:p w14:paraId="24DCA298">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w:t>
      </w:r>
      <w:r>
        <w:rPr>
          <w:rFonts w:hint="default" w:ascii="Times New Roman" w:hAnsi="Times New Roman" w:eastAsia="仿宋_GB2312" w:cs="Times New Roman"/>
          <w:color w:val="000000"/>
          <w:sz w:val="32"/>
          <w:szCs w:val="32"/>
          <w:highlight w:val="none"/>
          <w:lang w:val="en-US" w:eastAsia="zh-CN"/>
        </w:rPr>
        <w:t>申请比选</w:t>
      </w:r>
      <w:r>
        <w:rPr>
          <w:rFonts w:hint="default" w:ascii="Times New Roman" w:hAnsi="Times New Roman" w:eastAsia="仿宋_GB2312" w:cs="Times New Roman"/>
          <w:color w:val="000000"/>
          <w:sz w:val="32"/>
          <w:szCs w:val="32"/>
          <w:highlight w:val="none"/>
        </w:rPr>
        <w:t>时，不处于被监管机构暂停评级业务期间</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须提供承诺函</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p>
    <w:p w14:paraId="679D1A23">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（四）法律、行政法规、规范性文件及自律规范规定的其他条件</w:t>
      </w:r>
      <w:r>
        <w:rPr>
          <w:rFonts w:hint="default" w:ascii="Times New Roman" w:hAnsi="Times New Roman" w:eastAsia="仿宋_GB2312" w:cs="Times New Roman"/>
          <w:color w:val="000000"/>
          <w:sz w:val="32"/>
          <w:szCs w:val="32"/>
          <w:highlight w:val="none"/>
          <w:lang w:eastAsia="zh-CN"/>
        </w:rPr>
        <w:t>；</w:t>
      </w:r>
    </w:p>
    <w:p w14:paraId="3623FB4C">
      <w:pPr>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比选申请人</w:t>
      </w:r>
      <w:r>
        <w:rPr>
          <w:rFonts w:hint="default" w:ascii="Times New Roman" w:hAnsi="Times New Roman" w:eastAsia="仿宋_GB2312" w:cs="Times New Roman"/>
          <w:color w:val="000000"/>
          <w:sz w:val="32"/>
          <w:szCs w:val="32"/>
          <w:highlight w:val="none"/>
        </w:rPr>
        <w:t>未在“信用中国”网站（http：//www.creditchina.gov.cn/）中被列入失信被执行人名单，未在国家企业信用信息公示系统(http://www.gsxt.gov.cn/)中被列入严重违法失信企业名单”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提供查询截图</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p>
    <w:p w14:paraId="0C415C30">
      <w:pPr>
        <w:pStyle w:val="3"/>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000000"/>
          <w:sz w:val="32"/>
          <w:szCs w:val="32"/>
        </w:rPr>
      </w:pPr>
      <w:bookmarkStart w:id="87" w:name="_Toc17508"/>
      <w:bookmarkStart w:id="88" w:name="_Toc5396"/>
      <w:bookmarkStart w:id="89" w:name="_Toc1031"/>
      <w:bookmarkStart w:id="90" w:name="_Toc11739"/>
      <w:bookmarkStart w:id="91" w:name="_Toc6049"/>
      <w:bookmarkStart w:id="92" w:name="_Toc2704"/>
      <w:bookmarkStart w:id="93" w:name="_Toc19542"/>
      <w:bookmarkStart w:id="94" w:name="_Toc29828"/>
      <w:bookmarkStart w:id="95" w:name="_Toc17470"/>
      <w:bookmarkStart w:id="96" w:name="_Toc32378"/>
      <w:bookmarkStart w:id="97" w:name="_Toc30778"/>
      <w:bookmarkStart w:id="98" w:name="_Toc25848"/>
      <w:bookmarkStart w:id="99" w:name="_Toc31511"/>
      <w:bookmarkStart w:id="100" w:name="_Toc16116"/>
      <w:bookmarkStart w:id="101" w:name="_Toc7564"/>
      <w:bookmarkStart w:id="102" w:name="_Toc7404"/>
      <w:bookmarkStart w:id="103" w:name="_Toc9531"/>
      <w:bookmarkStart w:id="104" w:name="_Toc31320"/>
      <w:bookmarkStart w:id="105" w:name="_Toc5313"/>
      <w:bookmarkStart w:id="106" w:name="_Toc8711"/>
      <w:bookmarkStart w:id="107" w:name="_Toc12358"/>
      <w:bookmarkStart w:id="108" w:name="_Toc1352"/>
      <w:bookmarkStart w:id="109" w:name="_Toc8184"/>
      <w:bookmarkStart w:id="110" w:name="_Toc8383"/>
      <w:r>
        <w:rPr>
          <w:rFonts w:hint="eastAsia" w:ascii="黑体" w:hAnsi="黑体" w:eastAsia="黑体" w:cs="黑体"/>
          <w:b w:val="0"/>
          <w:bCs/>
          <w:color w:val="000000"/>
          <w:sz w:val="32"/>
          <w:szCs w:val="32"/>
        </w:rPr>
        <w:t>三、服务内容</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736BEC6">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highlight w:val="none"/>
        </w:rPr>
        <w:t>为</w:t>
      </w:r>
      <w:r>
        <w:rPr>
          <w:rFonts w:hint="default" w:ascii="Times New Roman" w:hAnsi="Times New Roman" w:eastAsia="仿宋_GB2312" w:cs="Times New Roman"/>
          <w:color w:val="000000"/>
          <w:sz w:val="32"/>
          <w:szCs w:val="32"/>
          <w:highlight w:val="none"/>
          <w:lang w:val="en-US" w:eastAsia="zh-CN"/>
        </w:rPr>
        <w:t>比选人</w:t>
      </w:r>
      <w:r>
        <w:rPr>
          <w:rFonts w:hint="default" w:ascii="Times New Roman" w:hAnsi="Times New Roman" w:eastAsia="仿宋_GB2312" w:cs="Times New Roman"/>
          <w:color w:val="000000"/>
          <w:sz w:val="32"/>
          <w:szCs w:val="32"/>
          <w:highlight w:val="none"/>
        </w:rPr>
        <w:t>提供</w:t>
      </w:r>
      <w:r>
        <w:rPr>
          <w:rFonts w:hint="default" w:ascii="Times New Roman" w:hAnsi="Times New Roman" w:eastAsia="仿宋_GB2312" w:cs="Times New Roman"/>
          <w:color w:val="000000"/>
          <w:sz w:val="32"/>
          <w:szCs w:val="32"/>
          <w:highlight w:val="none"/>
          <w:lang w:val="en-US" w:eastAsia="zh-CN"/>
        </w:rPr>
        <w:t>公司2025年主体信用评级</w:t>
      </w:r>
      <w:r>
        <w:rPr>
          <w:rFonts w:hint="default" w:ascii="Times New Roman" w:hAnsi="Times New Roman" w:eastAsia="仿宋_GB2312" w:cs="Times New Roman"/>
          <w:color w:val="000000"/>
          <w:sz w:val="32"/>
          <w:szCs w:val="32"/>
          <w:highlight w:val="none"/>
        </w:rPr>
        <w:t>相关服务</w:t>
      </w:r>
      <w:r>
        <w:rPr>
          <w:rFonts w:hint="default" w:ascii="Times New Roman" w:hAnsi="Times New Roman" w:eastAsia="仿宋_GB2312" w:cs="Times New Roman"/>
          <w:color w:val="000000"/>
          <w:sz w:val="32"/>
          <w:szCs w:val="32"/>
          <w:highlight w:val="none"/>
          <w:lang w:eastAsia="zh-CN"/>
        </w:rPr>
        <w:t>。</w:t>
      </w:r>
    </w:p>
    <w:p w14:paraId="7D6AD161">
      <w:pPr>
        <w:pStyle w:val="3"/>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000000"/>
          <w:sz w:val="32"/>
          <w:szCs w:val="32"/>
          <w:highlight w:val="none"/>
          <w:lang w:val="en-US" w:eastAsia="zh-Hans"/>
        </w:rPr>
      </w:pPr>
      <w:bookmarkStart w:id="111" w:name="_Toc29703"/>
      <w:bookmarkStart w:id="112" w:name="_Toc21836"/>
      <w:bookmarkStart w:id="113" w:name="_Toc18853"/>
      <w:bookmarkStart w:id="114" w:name="_Toc9289"/>
      <w:bookmarkStart w:id="115" w:name="_Toc4502"/>
      <w:bookmarkStart w:id="116" w:name="_Toc704"/>
      <w:bookmarkStart w:id="117" w:name="_Toc13799"/>
      <w:bookmarkStart w:id="118" w:name="_Toc10505"/>
      <w:bookmarkStart w:id="119" w:name="_Toc9868"/>
      <w:bookmarkStart w:id="120" w:name="_Toc26224"/>
      <w:bookmarkStart w:id="121" w:name="_Toc28798"/>
      <w:bookmarkStart w:id="122" w:name="_Toc12010"/>
      <w:bookmarkStart w:id="123" w:name="_Toc18878"/>
      <w:bookmarkStart w:id="124" w:name="_Toc31384"/>
      <w:bookmarkStart w:id="125" w:name="_Toc21590"/>
      <w:bookmarkStart w:id="126" w:name="_Toc28134"/>
      <w:bookmarkStart w:id="127" w:name="_Toc32106"/>
      <w:bookmarkStart w:id="128" w:name="_Toc16202"/>
      <w:bookmarkStart w:id="129" w:name="_Toc19093"/>
      <w:bookmarkStart w:id="130" w:name="_Toc11695"/>
      <w:bookmarkStart w:id="131" w:name="_Toc26398"/>
      <w:bookmarkStart w:id="132" w:name="_Toc25165"/>
      <w:bookmarkStart w:id="133" w:name="_Toc27768"/>
      <w:bookmarkStart w:id="134" w:name="_Toc17624"/>
      <w:r>
        <w:rPr>
          <w:rFonts w:hint="eastAsia" w:ascii="黑体" w:hAnsi="黑体" w:eastAsia="黑体" w:cs="黑体"/>
          <w:b w:val="0"/>
          <w:bCs/>
          <w:color w:val="000000"/>
          <w:sz w:val="32"/>
          <w:szCs w:val="32"/>
          <w:highlight w:val="none"/>
        </w:rPr>
        <w:t>四、</w:t>
      </w:r>
      <w:r>
        <w:rPr>
          <w:rFonts w:hint="eastAsia" w:ascii="黑体" w:hAnsi="黑体" w:eastAsia="黑体" w:cs="黑体"/>
          <w:b w:val="0"/>
          <w:bCs/>
          <w:color w:val="000000"/>
          <w:sz w:val="32"/>
          <w:szCs w:val="32"/>
          <w:highlight w:val="none"/>
          <w:lang w:val="en-US" w:eastAsia="zh-Hans"/>
        </w:rPr>
        <w:t>比选文件的获取</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5308AF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bookmarkStart w:id="135" w:name="_Toc7344"/>
      <w:bookmarkStart w:id="136" w:name="_Toc28354"/>
      <w:r>
        <w:rPr>
          <w:rFonts w:hint="default" w:ascii="Times New Roman" w:hAnsi="Times New Roman" w:eastAsia="仿宋_GB2312" w:cs="Times New Roman"/>
          <w:sz w:val="32"/>
          <w:szCs w:val="32"/>
          <w:lang w:val="en-US" w:eastAsia="zh-CN"/>
        </w:rPr>
        <w:t>比选申请人</w:t>
      </w:r>
      <w:r>
        <w:rPr>
          <w:rFonts w:hint="default" w:ascii="Times New Roman" w:hAnsi="Times New Roman" w:eastAsia="仿宋_GB2312" w:cs="Times New Roman"/>
          <w:sz w:val="32"/>
          <w:szCs w:val="32"/>
          <w:lang w:val="en-US"/>
        </w:rPr>
        <w:t>须在</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日至202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期间，</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四川蜀道铁路运营管理集团有限责任公司网站（https://www.sdtlyyjt.com）</w:t>
      </w:r>
      <w:r>
        <w:rPr>
          <w:rFonts w:hint="default" w:ascii="Times New Roman" w:hAnsi="Times New Roman" w:eastAsia="仿宋_GB2312" w:cs="Times New Roman"/>
          <w:sz w:val="32"/>
          <w:szCs w:val="32"/>
          <w:highlight w:val="none"/>
        </w:rPr>
        <w:t>自行查阅与下载。</w:t>
      </w:r>
    </w:p>
    <w:p w14:paraId="3592A667">
      <w:pPr>
        <w:pStyle w:val="3"/>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000000"/>
          <w:sz w:val="32"/>
          <w:szCs w:val="32"/>
          <w:highlight w:val="none"/>
          <w:lang w:eastAsia="zh-CN"/>
        </w:rPr>
      </w:pPr>
      <w:bookmarkStart w:id="137" w:name="_Toc13311"/>
      <w:bookmarkStart w:id="138" w:name="_Toc22365"/>
      <w:bookmarkStart w:id="139" w:name="_Toc7077"/>
      <w:bookmarkStart w:id="140" w:name="_Toc13834"/>
      <w:bookmarkStart w:id="141" w:name="_Toc13256"/>
      <w:bookmarkStart w:id="142" w:name="_Toc20855"/>
      <w:bookmarkStart w:id="143" w:name="_Toc10177"/>
      <w:bookmarkStart w:id="144" w:name="_Toc6430"/>
      <w:bookmarkStart w:id="145" w:name="_Toc5782"/>
      <w:bookmarkStart w:id="146" w:name="_Toc5408"/>
      <w:bookmarkStart w:id="147" w:name="_Toc23103"/>
      <w:bookmarkStart w:id="148" w:name="_Toc3277"/>
      <w:bookmarkStart w:id="149" w:name="_Toc2563"/>
      <w:bookmarkStart w:id="150" w:name="_Toc2691"/>
      <w:bookmarkStart w:id="151" w:name="_Toc2383"/>
      <w:bookmarkStart w:id="152" w:name="_Toc18406"/>
      <w:bookmarkStart w:id="153" w:name="_Toc29341"/>
      <w:bookmarkStart w:id="154" w:name="_Toc15669"/>
      <w:bookmarkStart w:id="155" w:name="_Toc23192"/>
      <w:bookmarkStart w:id="156" w:name="_Toc8612"/>
      <w:bookmarkStart w:id="157" w:name="_Toc18051"/>
      <w:bookmarkStart w:id="158" w:name="_Toc13360"/>
      <w:r>
        <w:rPr>
          <w:rFonts w:hint="eastAsia" w:ascii="黑体" w:hAnsi="黑体" w:eastAsia="黑体" w:cs="黑体"/>
          <w:b w:val="0"/>
          <w:bCs/>
          <w:color w:val="000000"/>
          <w:sz w:val="32"/>
          <w:szCs w:val="32"/>
          <w:highlight w:val="none"/>
        </w:rPr>
        <w:t>五、</w:t>
      </w:r>
      <w:r>
        <w:rPr>
          <w:rFonts w:hint="eastAsia" w:ascii="黑体" w:hAnsi="黑体" w:eastAsia="黑体" w:cs="黑体"/>
          <w:b w:val="0"/>
          <w:bCs/>
          <w:color w:val="000000"/>
          <w:sz w:val="32"/>
          <w:szCs w:val="32"/>
          <w:highlight w:val="none"/>
          <w:lang w:val="en-US" w:eastAsia="zh-CN"/>
        </w:rPr>
        <w:t>比选时间</w:t>
      </w:r>
      <w:r>
        <w:rPr>
          <w:rFonts w:hint="eastAsia" w:ascii="黑体" w:hAnsi="黑体" w:eastAsia="黑体" w:cs="黑体"/>
          <w:b w:val="0"/>
          <w:bCs/>
          <w:color w:val="000000"/>
          <w:sz w:val="32"/>
          <w:szCs w:val="32"/>
          <w:highlight w:val="none"/>
        </w:rPr>
        <w:t>及地点</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hint="eastAsia" w:ascii="黑体" w:hAnsi="黑体" w:eastAsia="黑体" w:cs="黑体"/>
          <w:b w:val="0"/>
          <w:bCs/>
          <w:color w:val="000000"/>
          <w:sz w:val="32"/>
          <w:szCs w:val="32"/>
          <w:highlight w:val="none"/>
        </w:rPr>
        <w:t xml:space="preserve"> </w:t>
      </w:r>
    </w:p>
    <w:p w14:paraId="3B3AEE76">
      <w:pPr>
        <w:keepNext w:val="0"/>
        <w:keepLines w:val="0"/>
        <w:pageBreakBefore w:val="0"/>
        <w:kinsoku/>
        <w:wordWrap/>
        <w:overflowPunct/>
        <w:topLinePunct w:val="0"/>
        <w:autoSpaceDE/>
        <w:autoSpaceDN/>
        <w:bidi w:val="0"/>
        <w:adjustRightInd w:val="0"/>
        <w:snapToGrid w:val="0"/>
        <w:spacing w:beforeLines="0" w:afterLines="-2147483648" w:line="570" w:lineRule="exact"/>
        <w:ind w:firstLine="640" w:firstLineChars="200"/>
        <w:jc w:val="both"/>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sz w:val="32"/>
          <w:szCs w:val="32"/>
          <w:highlight w:val="none"/>
        </w:rPr>
        <w:t>比选人</w:t>
      </w:r>
      <w:r>
        <w:rPr>
          <w:rFonts w:hint="default" w:ascii="Times New Roman" w:hAnsi="Times New Roman" w:eastAsia="仿宋_GB2312" w:cs="Times New Roman"/>
          <w:sz w:val="32"/>
          <w:szCs w:val="32"/>
          <w:highlight w:val="none"/>
          <w:lang w:val="en-US" w:eastAsia="zh-CN"/>
        </w:rPr>
        <w:t>定于</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上</w:t>
      </w:r>
      <w:r>
        <w:rPr>
          <w:rFonts w:hint="default" w:ascii="Times New Roman" w:hAnsi="Times New Roman" w:eastAsia="仿宋_GB2312" w:cs="Times New Roman"/>
          <w:sz w:val="32"/>
          <w:szCs w:val="32"/>
          <w:highlight w:val="none"/>
        </w:rPr>
        <w:t>午</w:t>
      </w:r>
      <w:r>
        <w:rPr>
          <w:rFonts w:hint="default" w:ascii="Times New Roman" w:hAnsi="Times New Roman" w:eastAsia="仿宋_GB2312" w:cs="Times New Roman"/>
          <w:sz w:val="32"/>
          <w:szCs w:val="32"/>
          <w:highlight w:val="none"/>
          <w:lang w:val="en-US" w:eastAsia="zh-CN"/>
        </w:rPr>
        <w:t>10:</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0（北京时间）</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四川省成都市高新区两江国际A座2339会议室</w:t>
      </w:r>
      <w:r>
        <w:rPr>
          <w:rFonts w:hint="default" w:ascii="Times New Roman" w:hAnsi="Times New Roman" w:eastAsia="仿宋_GB2312" w:cs="Times New Roman"/>
          <w:sz w:val="32"/>
          <w:szCs w:val="32"/>
          <w:highlight w:val="none"/>
        </w:rPr>
        <w:t>进行</w:t>
      </w:r>
      <w:r>
        <w:rPr>
          <w:rFonts w:hint="default" w:ascii="Times New Roman" w:hAnsi="Times New Roman" w:eastAsia="仿宋_GB2312" w:cs="Times New Roman"/>
          <w:sz w:val="32"/>
          <w:szCs w:val="32"/>
          <w:highlight w:val="none"/>
          <w:lang w:val="en-US"/>
        </w:rPr>
        <w:t>比选</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比选申请人须于</w:t>
      </w:r>
      <w:r>
        <w:rPr>
          <w:rFonts w:hint="default" w:ascii="Times New Roman" w:hAnsi="Times New Roman" w:eastAsia="仿宋_GB2312" w:cs="Times New Roman"/>
          <w:sz w:val="32"/>
          <w:szCs w:val="32"/>
          <w:highlight w:val="none"/>
          <w:lang w:val="en-US"/>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rPr>
        <w:t>月</w:t>
      </w:r>
      <w:r>
        <w:rPr>
          <w:rFonts w:hint="eastAsia"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lang w:val="en-US"/>
        </w:rPr>
        <w:t>日</w:t>
      </w:r>
      <w:r>
        <w:rPr>
          <w:rFonts w:hint="default" w:ascii="Times New Roman" w:hAnsi="Times New Roman" w:eastAsia="仿宋_GB2312" w:cs="Times New Roman"/>
          <w:sz w:val="32"/>
          <w:szCs w:val="32"/>
          <w:highlight w:val="none"/>
          <w:lang w:val="en-US" w:eastAsia="zh-CN"/>
        </w:rPr>
        <w:t>上午10</w:t>
      </w:r>
      <w:r>
        <w:rPr>
          <w:rFonts w:hint="default" w:ascii="Times New Roman" w:hAnsi="Times New Roman" w:eastAsia="仿宋_GB2312" w:cs="Times New Roman"/>
          <w:sz w:val="32"/>
          <w:szCs w:val="32"/>
          <w:highlight w:val="none"/>
          <w:lang w:val="en-US"/>
        </w:rPr>
        <w:t>:</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rPr>
        <w:t>0（北京时间）之前将</w:t>
      </w:r>
      <w:r>
        <w:rPr>
          <w:rFonts w:hint="default" w:ascii="Times New Roman" w:hAnsi="Times New Roman" w:eastAsia="仿宋_GB2312" w:cs="Times New Roman"/>
          <w:sz w:val="32"/>
          <w:szCs w:val="32"/>
          <w:highlight w:val="none"/>
          <w:lang w:val="en-US" w:eastAsia="zh-CN"/>
        </w:rPr>
        <w:t>密封的比选申请</w:t>
      </w:r>
      <w:r>
        <w:rPr>
          <w:rFonts w:hint="default" w:ascii="Times New Roman" w:hAnsi="Times New Roman" w:eastAsia="仿宋_GB2312" w:cs="Times New Roman"/>
          <w:sz w:val="32"/>
          <w:szCs w:val="32"/>
          <w:highlight w:val="none"/>
          <w:lang w:val="en-US"/>
        </w:rPr>
        <w:t>文件送达至</w:t>
      </w:r>
      <w:r>
        <w:rPr>
          <w:rFonts w:hint="default" w:ascii="Times New Roman" w:hAnsi="Times New Roman" w:eastAsia="仿宋_GB2312" w:cs="Times New Roman"/>
          <w:sz w:val="32"/>
          <w:szCs w:val="32"/>
          <w:highlight w:val="none"/>
          <w:lang w:val="en-US" w:eastAsia="zh-CN"/>
        </w:rPr>
        <w:t>成都市高新区两江国际A座23楼2339会议室，</w:t>
      </w:r>
      <w:r>
        <w:rPr>
          <w:rFonts w:hint="default" w:ascii="Times New Roman" w:hAnsi="Times New Roman" w:eastAsia="仿宋_GB2312" w:cs="Times New Roman"/>
          <w:sz w:val="32"/>
          <w:szCs w:val="32"/>
          <w:highlight w:val="none"/>
          <w:lang w:val="en-US"/>
        </w:rPr>
        <w:t>逾期送达的、未送达指定地点的或者不按</w:t>
      </w:r>
      <w:r>
        <w:rPr>
          <w:rFonts w:hint="default" w:ascii="Times New Roman" w:hAnsi="Times New Roman" w:eastAsia="仿宋_GB2312" w:cs="Times New Roman"/>
          <w:sz w:val="32"/>
          <w:szCs w:val="32"/>
          <w:highlight w:val="none"/>
          <w:lang w:val="en-US" w:eastAsia="zh-CN"/>
        </w:rPr>
        <w:t>比选文件</w:t>
      </w:r>
      <w:r>
        <w:rPr>
          <w:rFonts w:hint="default" w:ascii="Times New Roman" w:hAnsi="Times New Roman" w:eastAsia="仿宋_GB2312" w:cs="Times New Roman"/>
          <w:sz w:val="32"/>
          <w:szCs w:val="32"/>
          <w:highlight w:val="none"/>
          <w:lang w:val="en-US"/>
        </w:rPr>
        <w:t>要求密封的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en-US"/>
        </w:rPr>
        <w:t>文件，</w:t>
      </w:r>
      <w:r>
        <w:rPr>
          <w:rFonts w:hint="default" w:ascii="Times New Roman" w:hAnsi="Times New Roman" w:eastAsia="仿宋_GB2312" w:cs="Times New Roman"/>
          <w:sz w:val="32"/>
          <w:szCs w:val="32"/>
          <w:highlight w:val="none"/>
          <w:lang w:val="en-US" w:eastAsia="zh-CN"/>
        </w:rPr>
        <w:t>比选人</w:t>
      </w:r>
      <w:r>
        <w:rPr>
          <w:rFonts w:hint="default" w:ascii="Times New Roman" w:hAnsi="Times New Roman" w:eastAsia="仿宋_GB2312" w:cs="Times New Roman"/>
          <w:sz w:val="32"/>
          <w:szCs w:val="32"/>
          <w:highlight w:val="none"/>
          <w:lang w:val="en-US"/>
        </w:rPr>
        <w:t>将予以拒收。</w:t>
      </w:r>
      <w:r>
        <w:rPr>
          <w:rFonts w:hint="default" w:ascii="Times New Roman" w:hAnsi="Times New Roman" w:eastAsia="仿宋_GB2312" w:cs="Times New Roman"/>
          <w:color w:val="000000"/>
          <w:sz w:val="32"/>
          <w:szCs w:val="32"/>
          <w:highlight w:val="none"/>
        </w:rPr>
        <w:t>以上内容如有变化，</w:t>
      </w:r>
      <w:r>
        <w:rPr>
          <w:rFonts w:hint="default" w:ascii="Times New Roman" w:hAnsi="Times New Roman" w:eastAsia="仿宋_GB2312" w:cs="Times New Roman"/>
          <w:color w:val="000000"/>
          <w:sz w:val="32"/>
          <w:szCs w:val="32"/>
          <w:highlight w:val="none"/>
          <w:lang w:eastAsia="zh-CN"/>
        </w:rPr>
        <w:t>比选人</w:t>
      </w:r>
      <w:r>
        <w:rPr>
          <w:rFonts w:hint="default" w:ascii="Times New Roman" w:hAnsi="Times New Roman" w:eastAsia="仿宋_GB2312" w:cs="Times New Roman"/>
          <w:color w:val="000000"/>
          <w:sz w:val="32"/>
          <w:szCs w:val="32"/>
          <w:highlight w:val="none"/>
        </w:rPr>
        <w:t>将另行通知。</w:t>
      </w:r>
    </w:p>
    <w:p w14:paraId="35797E9C">
      <w:pPr>
        <w:pStyle w:val="3"/>
        <w:keepNext/>
        <w:keepLines w:val="0"/>
        <w:pageBreakBefore w:val="0"/>
        <w:widowControl w:val="0"/>
        <w:kinsoku/>
        <w:wordWrap/>
        <w:overflowPunct/>
        <w:topLinePunct w:val="0"/>
        <w:autoSpaceDE/>
        <w:autoSpaceDN/>
        <w:bidi w:val="0"/>
        <w:adjustRightInd/>
        <w:snapToGrid/>
        <w:spacing w:beforeLines="0" w:line="570" w:lineRule="exact"/>
        <w:ind w:firstLine="640" w:firstLineChars="200"/>
        <w:jc w:val="both"/>
        <w:textAlignment w:val="auto"/>
        <w:rPr>
          <w:rFonts w:hint="eastAsia" w:ascii="黑体" w:hAnsi="黑体" w:eastAsia="黑体" w:cs="黑体"/>
          <w:b w:val="0"/>
          <w:bCs/>
          <w:color w:val="000000"/>
          <w:sz w:val="32"/>
          <w:szCs w:val="32"/>
          <w:lang w:val="en-US" w:eastAsia="zh-CN"/>
        </w:rPr>
      </w:pPr>
      <w:bookmarkStart w:id="159" w:name="_Toc23664"/>
      <w:bookmarkStart w:id="160" w:name="_Toc30723"/>
      <w:bookmarkStart w:id="161" w:name="_Toc171"/>
      <w:bookmarkStart w:id="162" w:name="_Toc16924"/>
      <w:bookmarkStart w:id="163" w:name="_Toc16798"/>
      <w:bookmarkStart w:id="164" w:name="_Toc16218"/>
      <w:bookmarkStart w:id="165" w:name="_Toc4213"/>
      <w:bookmarkStart w:id="166" w:name="_Toc5421"/>
      <w:bookmarkStart w:id="167" w:name="_Toc9891"/>
      <w:bookmarkStart w:id="168" w:name="_Toc10517"/>
      <w:bookmarkStart w:id="169" w:name="_Toc31592"/>
      <w:bookmarkStart w:id="170" w:name="_Toc17572"/>
      <w:bookmarkStart w:id="171" w:name="_Toc4940"/>
      <w:bookmarkStart w:id="172" w:name="_Toc9017"/>
      <w:bookmarkStart w:id="173" w:name="_Toc1483"/>
      <w:bookmarkStart w:id="174" w:name="_Toc8181"/>
      <w:bookmarkStart w:id="175" w:name="_Toc28553"/>
      <w:bookmarkStart w:id="176" w:name="_Toc19894"/>
      <w:bookmarkStart w:id="177" w:name="_Toc30984"/>
      <w:bookmarkStart w:id="178" w:name="_Toc6068"/>
      <w:bookmarkStart w:id="179" w:name="_Toc26613"/>
      <w:bookmarkStart w:id="180" w:name="_Toc8607"/>
      <w:bookmarkStart w:id="181" w:name="_Toc2200"/>
      <w:bookmarkStart w:id="182" w:name="_Toc8033"/>
      <w:r>
        <w:rPr>
          <w:rFonts w:hint="eastAsia" w:ascii="黑体" w:hAnsi="黑体" w:eastAsia="黑体" w:cs="黑体"/>
          <w:b w:val="0"/>
          <w:bCs/>
          <w:color w:val="000000"/>
          <w:sz w:val="32"/>
          <w:szCs w:val="32"/>
          <w:lang w:val="en-US" w:eastAsia="zh-CN"/>
        </w:rPr>
        <w:t>六、比选方法</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3902999">
      <w:pPr>
        <w:keepNext w:val="0"/>
        <w:keepLines w:val="0"/>
        <w:pageBreakBefore w:val="0"/>
        <w:widowControl w:val="0"/>
        <w:kinsoku/>
        <w:wordWrap/>
        <w:overflowPunct/>
        <w:topLinePunct w:val="0"/>
        <w:autoSpaceDE/>
        <w:autoSpaceDN/>
        <w:bidi w:val="0"/>
        <w:adjustRightInd/>
        <w:snapToGrid/>
        <w:spacing w:before="0" w:beforeLines="0" w:line="570" w:lineRule="exact"/>
        <w:ind w:firstLine="64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32"/>
          <w:szCs w:val="32"/>
          <w:lang w:val="en-US" w:eastAsia="zh-CN"/>
        </w:rPr>
        <w:t>本次比选采用综合评分法，资格后审。综合得分最高的比选申请人为推荐中选人，中选人为1人。若出现综合得分相同的情况，选择评级费用得分最高的为推荐中选人；若</w:t>
      </w:r>
      <w:r>
        <w:rPr>
          <w:rFonts w:hint="default" w:ascii="Times New Roman" w:hAnsi="Times New Roman" w:eastAsia="仿宋_GB2312" w:cs="Times New Roman"/>
          <w:sz w:val="32"/>
          <w:szCs w:val="32"/>
          <w:highlight w:val="none"/>
        </w:rPr>
        <w:t>评级费用得分也相同，则以类似业绩得分最高比选申请人优先；如总分、评级费用和类似业绩得分都相同，则以</w:t>
      </w:r>
      <w:r>
        <w:rPr>
          <w:rFonts w:hint="default" w:ascii="Times New Roman" w:hAnsi="Times New Roman" w:eastAsia="仿宋_GB2312" w:cs="Times New Roman"/>
          <w:sz w:val="32"/>
          <w:szCs w:val="32"/>
          <w:highlight w:val="none"/>
          <w:lang w:val="en-US" w:eastAsia="zh-CN"/>
        </w:rPr>
        <w:t>评级方案</w:t>
      </w:r>
      <w:r>
        <w:rPr>
          <w:rFonts w:hint="default" w:ascii="Times New Roman" w:hAnsi="Times New Roman" w:eastAsia="仿宋_GB2312" w:cs="Times New Roman"/>
          <w:sz w:val="32"/>
          <w:szCs w:val="32"/>
          <w:highlight w:val="none"/>
        </w:rPr>
        <w:t>得分最高比选人申请人优先；如果前四项（总分、评级费用得分、类似业绩得分、</w:t>
      </w:r>
      <w:r>
        <w:rPr>
          <w:rFonts w:hint="default" w:ascii="Times New Roman" w:hAnsi="Times New Roman" w:eastAsia="仿宋_GB2312" w:cs="Times New Roman"/>
          <w:sz w:val="32"/>
          <w:szCs w:val="32"/>
          <w:highlight w:val="none"/>
          <w:lang w:val="en-US" w:eastAsia="zh-CN"/>
        </w:rPr>
        <w:t>评级方案得分</w:t>
      </w:r>
      <w:r>
        <w:rPr>
          <w:rFonts w:hint="default" w:ascii="Times New Roman" w:hAnsi="Times New Roman" w:eastAsia="仿宋_GB2312" w:cs="Times New Roman"/>
          <w:sz w:val="32"/>
          <w:szCs w:val="32"/>
          <w:highlight w:val="none"/>
        </w:rPr>
        <w:t>）分数都相同，则采用抽签方式确定</w:t>
      </w:r>
      <w:bookmarkStart w:id="183" w:name="_Toc14619"/>
      <w:bookmarkStart w:id="184" w:name="_Toc18048"/>
      <w:r>
        <w:rPr>
          <w:rFonts w:hint="default" w:ascii="Times New Roman" w:hAnsi="Times New Roman" w:eastAsia="仿宋_GB2312" w:cs="Times New Roman"/>
          <w:sz w:val="32"/>
          <w:szCs w:val="32"/>
          <w:highlight w:val="none"/>
          <w:lang w:eastAsia="zh-CN"/>
        </w:rPr>
        <w:t>。</w:t>
      </w:r>
    </w:p>
    <w:p w14:paraId="5D4E6EA6">
      <w:pPr>
        <w:pStyle w:val="3"/>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000000"/>
          <w:sz w:val="32"/>
          <w:szCs w:val="32"/>
          <w:lang w:val="en-US" w:eastAsia="zh-CN"/>
        </w:rPr>
      </w:pPr>
      <w:bookmarkStart w:id="185" w:name="_Toc21328"/>
      <w:bookmarkStart w:id="186" w:name="_Toc31280"/>
      <w:bookmarkStart w:id="187" w:name="_Toc5642"/>
      <w:bookmarkStart w:id="188" w:name="_Toc15710"/>
      <w:bookmarkStart w:id="189" w:name="_Toc2057"/>
      <w:bookmarkStart w:id="190" w:name="_Toc9638"/>
      <w:bookmarkStart w:id="191" w:name="_Toc4274"/>
      <w:bookmarkStart w:id="192" w:name="_Toc22644"/>
      <w:bookmarkStart w:id="193" w:name="_Toc15990"/>
      <w:bookmarkStart w:id="194" w:name="_Toc17619"/>
      <w:bookmarkStart w:id="195" w:name="_Toc9104"/>
      <w:bookmarkStart w:id="196" w:name="_Toc11352"/>
      <w:bookmarkStart w:id="197" w:name="_Toc26036"/>
      <w:bookmarkStart w:id="198" w:name="_Toc16522"/>
      <w:bookmarkStart w:id="199" w:name="_Toc25253"/>
      <w:bookmarkStart w:id="200" w:name="_Toc21368"/>
      <w:bookmarkStart w:id="201" w:name="_Toc10138"/>
      <w:bookmarkStart w:id="202" w:name="_Toc30785"/>
      <w:bookmarkStart w:id="203" w:name="_Toc18591"/>
      <w:bookmarkStart w:id="204" w:name="_Toc8007"/>
      <w:bookmarkStart w:id="205" w:name="_Toc210"/>
      <w:bookmarkStart w:id="206" w:name="_Toc9452"/>
      <w:r>
        <w:rPr>
          <w:rFonts w:hint="eastAsia" w:ascii="黑体" w:hAnsi="黑体" w:eastAsia="黑体" w:cs="黑体"/>
          <w:b w:val="0"/>
          <w:bCs/>
          <w:color w:val="000000"/>
          <w:sz w:val="32"/>
          <w:szCs w:val="32"/>
          <w:lang w:val="en-US" w:eastAsia="zh-CN"/>
        </w:rPr>
        <w:t>七、比选费用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3E24E22C">
      <w:pPr>
        <w:keepNext w:val="0"/>
        <w:keepLines w:val="0"/>
        <w:pageBreakBefore w:val="0"/>
        <w:widowControl w:val="0"/>
        <w:kinsoku/>
        <w:wordWrap/>
        <w:overflowPunct/>
        <w:topLinePunct w:val="0"/>
        <w:autoSpaceDE/>
        <w:autoSpaceDN/>
        <w:bidi w:val="0"/>
        <w:adjustRightInd/>
        <w:snapToGrid/>
        <w:spacing w:before="0" w:beforeLines="0"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比选人将不承担比选申请人包括比选文件购买、准备和递交比选申请文件在内的任何成本或费用。</w:t>
      </w:r>
    </w:p>
    <w:p w14:paraId="1811CF6F">
      <w:pPr>
        <w:pStyle w:val="3"/>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000000"/>
          <w:sz w:val="32"/>
          <w:szCs w:val="32"/>
          <w:lang w:val="en-US" w:eastAsia="zh-CN"/>
        </w:rPr>
      </w:pPr>
      <w:bookmarkStart w:id="207" w:name="_Toc8402"/>
      <w:bookmarkStart w:id="208" w:name="_Toc22172"/>
      <w:bookmarkStart w:id="209" w:name="_Toc31951"/>
      <w:bookmarkStart w:id="210" w:name="_Toc12276"/>
      <w:bookmarkStart w:id="211" w:name="_Toc27477"/>
      <w:bookmarkStart w:id="212" w:name="_Toc26864"/>
      <w:bookmarkStart w:id="213" w:name="_Toc7606"/>
      <w:bookmarkStart w:id="214" w:name="_Toc6249"/>
      <w:bookmarkStart w:id="215" w:name="_Toc32548"/>
      <w:bookmarkStart w:id="216" w:name="_Toc15065"/>
      <w:bookmarkStart w:id="217" w:name="_Toc15077"/>
      <w:bookmarkStart w:id="218" w:name="_Toc525"/>
      <w:bookmarkStart w:id="219" w:name="_Toc17063"/>
      <w:bookmarkStart w:id="220" w:name="_Toc22571"/>
      <w:bookmarkStart w:id="221" w:name="_Toc181"/>
      <w:bookmarkStart w:id="222" w:name="_Toc4872"/>
      <w:bookmarkStart w:id="223" w:name="_Toc11140"/>
      <w:bookmarkStart w:id="224" w:name="_Toc30710"/>
      <w:bookmarkStart w:id="225" w:name="_Toc8105"/>
      <w:bookmarkStart w:id="226" w:name="_Toc14393"/>
      <w:bookmarkStart w:id="227" w:name="_Toc9624"/>
      <w:bookmarkStart w:id="228" w:name="_Toc24716"/>
      <w:r>
        <w:rPr>
          <w:rFonts w:hint="eastAsia" w:ascii="黑体" w:hAnsi="黑体" w:eastAsia="黑体" w:cs="黑体"/>
          <w:b w:val="0"/>
          <w:bCs/>
          <w:color w:val="000000"/>
          <w:sz w:val="32"/>
          <w:szCs w:val="32"/>
          <w:lang w:val="en-US" w:eastAsia="zh-CN"/>
        </w:rPr>
        <w:t>八、</w:t>
      </w:r>
      <w:bookmarkEnd w:id="183"/>
      <w:bookmarkEnd w:id="184"/>
      <w:r>
        <w:rPr>
          <w:rFonts w:hint="eastAsia" w:ascii="黑体" w:hAnsi="黑体" w:eastAsia="黑体" w:cs="黑体"/>
          <w:b w:val="0"/>
          <w:bCs/>
          <w:color w:val="000000"/>
          <w:sz w:val="32"/>
          <w:szCs w:val="32"/>
          <w:lang w:val="en-US" w:eastAsia="zh-CN"/>
        </w:rPr>
        <w:t>信息发布地点</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3E41F22">
      <w:pPr>
        <w:keepNext w:val="0"/>
        <w:keepLines w:val="0"/>
        <w:pageBreakBefore w:val="0"/>
        <w:widowControl w:val="0"/>
        <w:kinsoku/>
        <w:wordWrap/>
        <w:overflowPunct/>
        <w:topLinePunct w:val="0"/>
        <w:autoSpaceDE/>
        <w:autoSpaceDN/>
        <w:bidi w:val="0"/>
        <w:adjustRightInd/>
        <w:snapToGrid/>
        <w:spacing w:before="0" w:beforeLines="0"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（一）比选结果公示：比选结果于</w:t>
      </w:r>
      <w:r>
        <w:rPr>
          <w:rFonts w:hint="default" w:ascii="Times New Roman" w:hAnsi="Times New Roman" w:eastAsia="仿宋_GB2312" w:cs="Times New Roman"/>
          <w:sz w:val="32"/>
          <w:szCs w:val="32"/>
          <w:highlight w:val="none"/>
          <w:lang w:val="en-US" w:eastAsia="zh-CN"/>
        </w:rPr>
        <w:t>四川蜀道铁路运营管理集团有限责任公司官网（https://www.sdtlyyjt.com）</w:t>
      </w:r>
      <w:r>
        <w:rPr>
          <w:rFonts w:hint="default" w:ascii="Times New Roman" w:hAnsi="Times New Roman" w:eastAsia="仿宋_GB2312" w:cs="Times New Roman"/>
          <w:sz w:val="32"/>
          <w:szCs w:val="32"/>
          <w:lang w:val="en-US" w:eastAsia="zh-CN"/>
        </w:rPr>
        <w:t>进行公示，公示时间为1-3个工作日。</w:t>
      </w:r>
    </w:p>
    <w:p w14:paraId="4F79777F">
      <w:pPr>
        <w:keepLines w:val="0"/>
        <w:pageBreakBefore w:val="0"/>
        <w:widowControl w:val="0"/>
        <w:numPr>
          <w:ilvl w:val="0"/>
          <w:numId w:val="0"/>
        </w:numPr>
        <w:kinsoku/>
        <w:wordWrap/>
        <w:overflowPunct/>
        <w:topLinePunct w:val="0"/>
        <w:autoSpaceDE/>
        <w:autoSpaceDN/>
        <w:bidi w:val="0"/>
        <w:adjustRightInd/>
        <w:snapToGrid/>
        <w:spacing w:beforeLines="0" w:line="570" w:lineRule="exac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（二）比选结果通知：比选人对确定的中选人发放中选通知书，未中选人不另发书面通知。</w:t>
      </w:r>
    </w:p>
    <w:p w14:paraId="2792C75B">
      <w:pPr>
        <w:pStyle w:val="3"/>
        <w:keepNext/>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color w:val="000000"/>
          <w:sz w:val="32"/>
          <w:szCs w:val="32"/>
          <w:lang w:val="en-US" w:eastAsia="zh-CN"/>
        </w:rPr>
      </w:pPr>
      <w:bookmarkStart w:id="229" w:name="_Toc4136"/>
      <w:bookmarkStart w:id="230" w:name="_Toc3491"/>
      <w:bookmarkStart w:id="231" w:name="_Toc31785"/>
      <w:bookmarkStart w:id="232" w:name="_Toc1452"/>
      <w:bookmarkStart w:id="233" w:name="_Toc15418"/>
      <w:bookmarkStart w:id="234" w:name="_Toc31719"/>
      <w:bookmarkStart w:id="235" w:name="_Toc32528"/>
      <w:bookmarkStart w:id="236" w:name="_Toc14998"/>
      <w:bookmarkStart w:id="237" w:name="_Toc9630"/>
      <w:bookmarkStart w:id="238" w:name="_Toc1672"/>
      <w:bookmarkStart w:id="239" w:name="_Toc5052"/>
      <w:bookmarkStart w:id="240" w:name="_Toc15472"/>
      <w:bookmarkStart w:id="241" w:name="_Toc13576"/>
      <w:bookmarkStart w:id="242" w:name="_Toc23605"/>
      <w:bookmarkStart w:id="243" w:name="_Toc20430"/>
      <w:bookmarkStart w:id="244" w:name="_Toc3607"/>
      <w:bookmarkStart w:id="245" w:name="_Toc18274"/>
      <w:bookmarkStart w:id="246" w:name="_Toc5634"/>
      <w:bookmarkStart w:id="247" w:name="_Toc1487"/>
      <w:bookmarkStart w:id="248" w:name="_Toc30776"/>
      <w:bookmarkStart w:id="249" w:name="_Toc558"/>
      <w:bookmarkStart w:id="250" w:name="_Toc18230"/>
      <w:bookmarkStart w:id="251" w:name="_Toc30888"/>
      <w:bookmarkStart w:id="252" w:name="_Toc1231"/>
      <w:r>
        <w:rPr>
          <w:rFonts w:hint="eastAsia" w:ascii="黑体" w:hAnsi="黑体" w:eastAsia="黑体" w:cs="黑体"/>
          <w:b w:val="0"/>
          <w:bCs/>
          <w:color w:val="000000"/>
          <w:sz w:val="32"/>
          <w:szCs w:val="32"/>
          <w:lang w:val="en-US" w:eastAsia="zh-CN"/>
        </w:rPr>
        <w:t>九、比选人名称及联系方式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3E1C407">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比</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选</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四川蜀道铁路运营管理集团有限责任公司</w:t>
      </w:r>
    </w:p>
    <w:p w14:paraId="6FCC8502">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地    址：四川省成都市</w:t>
      </w:r>
      <w:r>
        <w:rPr>
          <w:rFonts w:hint="default" w:ascii="Times New Roman" w:hAnsi="Times New Roman" w:eastAsia="仿宋_GB2312" w:cs="Times New Roman"/>
          <w:color w:val="000000"/>
          <w:sz w:val="32"/>
          <w:szCs w:val="32"/>
          <w:lang w:val="en-US" w:eastAsia="zh-CN"/>
        </w:rPr>
        <w:t>高新区两江国际A座23层</w:t>
      </w:r>
    </w:p>
    <w:p w14:paraId="64E05253">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rPr>
        <w:t>联 系 人：</w:t>
      </w:r>
      <w:r>
        <w:rPr>
          <w:rFonts w:hint="default" w:ascii="Times New Roman" w:hAnsi="Times New Roman" w:eastAsia="仿宋_GB2312" w:cs="Times New Roman"/>
          <w:color w:val="000000"/>
          <w:sz w:val="32"/>
          <w:szCs w:val="32"/>
          <w:lang w:val="en-US" w:eastAsia="zh-CN"/>
        </w:rPr>
        <w:t>王先生</w:t>
      </w:r>
    </w:p>
    <w:p w14:paraId="7477CEB8">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highlight w:val="none"/>
        </w:rPr>
        <w:t>联系</w:t>
      </w:r>
      <w:r>
        <w:rPr>
          <w:rFonts w:hint="default" w:ascii="Times New Roman" w:hAnsi="Times New Roman" w:eastAsia="仿宋_GB2312" w:cs="Times New Roman"/>
          <w:color w:val="000000"/>
          <w:sz w:val="32"/>
          <w:szCs w:val="32"/>
          <w:highlight w:val="none"/>
          <w:lang w:val="en-US" w:eastAsia="zh-CN"/>
        </w:rPr>
        <w:t>方式</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028-81266172</w:t>
      </w:r>
    </w:p>
    <w:p w14:paraId="2B646C46">
      <w:pPr>
        <w:spacing w:line="360" w:lineRule="auto"/>
        <w:ind w:firstLine="640" w:firstLineChars="200"/>
        <w:rPr>
          <w:rFonts w:hint="eastAsia" w:ascii="仿宋_GB2312" w:hAnsi="仿宋_GB2312" w:eastAsia="仿宋_GB2312" w:cs="仿宋_GB2312"/>
          <w:color w:val="000000"/>
          <w:sz w:val="32"/>
          <w:szCs w:val="32"/>
        </w:rPr>
      </w:pPr>
    </w:p>
    <w:p w14:paraId="74C3799D">
      <w:pPr>
        <w:pStyle w:val="23"/>
        <w:rPr>
          <w:rFonts w:ascii="Times New Roman" w:hAnsi="Times New Roman" w:eastAsia="仿宋_GB2312" w:cs="Times New Roman"/>
          <w:color w:val="000000"/>
          <w:sz w:val="24"/>
          <w:szCs w:val="24"/>
        </w:rPr>
      </w:pPr>
    </w:p>
    <w:p w14:paraId="51F6384F">
      <w:pPr>
        <w:pStyle w:val="23"/>
        <w:rPr>
          <w:rFonts w:ascii="Times New Roman" w:hAnsi="Times New Roman" w:eastAsia="仿宋_GB2312" w:cs="Times New Roman"/>
          <w:color w:val="000000"/>
          <w:sz w:val="24"/>
          <w:szCs w:val="24"/>
        </w:rPr>
      </w:pPr>
    </w:p>
    <w:p w14:paraId="0DF58D27">
      <w:pPr>
        <w:pStyle w:val="23"/>
        <w:rPr>
          <w:rFonts w:ascii="Times New Roman" w:hAnsi="Times New Roman" w:eastAsia="仿宋_GB2312" w:cs="Times New Roman"/>
          <w:color w:val="000000"/>
          <w:sz w:val="24"/>
          <w:szCs w:val="24"/>
        </w:rPr>
      </w:pPr>
    </w:p>
    <w:p w14:paraId="711B9991">
      <w:pPr>
        <w:pStyle w:val="23"/>
        <w:rPr>
          <w:rFonts w:ascii="Times New Roman" w:hAnsi="Times New Roman" w:eastAsia="仿宋_GB2312" w:cs="Times New Roman"/>
          <w:color w:val="000000"/>
          <w:sz w:val="24"/>
          <w:szCs w:val="24"/>
        </w:rPr>
      </w:pPr>
    </w:p>
    <w:p w14:paraId="65F9D7BC">
      <w:pPr>
        <w:pStyle w:val="23"/>
        <w:rPr>
          <w:rFonts w:ascii="Times New Roman" w:hAnsi="Times New Roman" w:eastAsia="仿宋_GB2312" w:cs="Times New Roman"/>
          <w:color w:val="000000"/>
          <w:sz w:val="24"/>
          <w:szCs w:val="24"/>
        </w:rPr>
      </w:pPr>
    </w:p>
    <w:p w14:paraId="06933EB3">
      <w:pPr>
        <w:pStyle w:val="2"/>
        <w:spacing w:before="313" w:beforeLines="100" w:after="313" w:afterLines="100" w:line="570" w:lineRule="exact"/>
        <w:ind w:firstLine="0" w:firstLineChars="0"/>
        <w:jc w:val="center"/>
        <w:rPr>
          <w:rFonts w:hint="default" w:ascii="Times New Roman" w:hAnsi="Times New Roman" w:eastAsia="仿宋_GB2312" w:cs="Times New Roman"/>
          <w:b w:val="0"/>
          <w:bCs w:val="0"/>
          <w:sz w:val="36"/>
          <w:szCs w:val="36"/>
        </w:rPr>
      </w:pPr>
      <w:bookmarkStart w:id="253" w:name="_Toc8815"/>
      <w:bookmarkStart w:id="254" w:name="_Toc3756"/>
      <w:bookmarkStart w:id="255" w:name="_Toc30556"/>
      <w:bookmarkStart w:id="256" w:name="_Toc23047"/>
      <w:bookmarkStart w:id="257" w:name="_Toc11787"/>
      <w:bookmarkStart w:id="258" w:name="_Toc20002"/>
      <w:bookmarkStart w:id="259" w:name="_Toc16321"/>
      <w:bookmarkStart w:id="260" w:name="_Toc5406"/>
      <w:bookmarkStart w:id="261" w:name="_Toc20528"/>
      <w:bookmarkStart w:id="262" w:name="_Toc10758"/>
      <w:bookmarkStart w:id="263" w:name="_Toc503280711"/>
      <w:bookmarkStart w:id="264" w:name="_Toc5589"/>
      <w:bookmarkStart w:id="265" w:name="_Toc17804"/>
      <w:bookmarkStart w:id="266" w:name="_Toc4330"/>
      <w:bookmarkStart w:id="267" w:name="_Toc32079"/>
      <w:bookmarkStart w:id="268" w:name="_Toc22263"/>
      <w:bookmarkStart w:id="269" w:name="_Toc24824"/>
      <w:bookmarkStart w:id="270" w:name="_Toc12484"/>
      <w:bookmarkStart w:id="271" w:name="_Toc13086"/>
      <w:bookmarkStart w:id="272" w:name="_Toc25369"/>
      <w:bookmarkStart w:id="273" w:name="_Toc11952"/>
      <w:bookmarkStart w:id="274" w:name="_Toc30561"/>
      <w:bookmarkStart w:id="275" w:name="_Toc17270"/>
      <w:bookmarkStart w:id="276" w:name="_Toc6256"/>
      <w:bookmarkStart w:id="277" w:name="_Toc5200"/>
      <w:bookmarkStart w:id="278" w:name="_Toc6936"/>
      <w:r>
        <w:rPr>
          <w:rFonts w:hint="eastAsia" w:ascii="方正小标宋简体" w:hAnsi="方正小标宋简体" w:eastAsia="方正小标宋简体" w:cs="方正小标宋简体"/>
          <w:b w:val="0"/>
          <w:bCs w:val="0"/>
          <w:sz w:val="44"/>
          <w:szCs w:val="44"/>
        </w:rPr>
        <w:t xml:space="preserve">第二章  </w:t>
      </w:r>
      <w:r>
        <w:rPr>
          <w:rFonts w:hint="eastAsia" w:ascii="方正小标宋简体" w:hAnsi="方正小标宋简体" w:eastAsia="方正小标宋简体" w:cs="方正小标宋简体"/>
          <w:b w:val="0"/>
          <w:bCs w:val="0"/>
          <w:sz w:val="44"/>
          <w:szCs w:val="44"/>
          <w:lang w:eastAsia="zh-CN"/>
        </w:rPr>
        <w:t>比选申请人</w:t>
      </w:r>
      <w:r>
        <w:rPr>
          <w:rFonts w:hint="eastAsia" w:ascii="方正小标宋简体" w:hAnsi="方正小标宋简体" w:eastAsia="方正小标宋简体" w:cs="方正小标宋简体"/>
          <w:b w:val="0"/>
          <w:bCs w:val="0"/>
          <w:sz w:val="44"/>
          <w:szCs w:val="44"/>
        </w:rPr>
        <w:t>须知</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4F6BC45">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279" w:name="_Toc31972"/>
      <w:bookmarkStart w:id="280" w:name="_Toc6372"/>
      <w:bookmarkStart w:id="281" w:name="_Toc32738"/>
      <w:bookmarkStart w:id="282" w:name="_Toc9880"/>
      <w:bookmarkStart w:id="283" w:name="_Toc1120"/>
      <w:bookmarkStart w:id="284" w:name="_Toc21559"/>
      <w:bookmarkStart w:id="285" w:name="_Toc16313"/>
      <w:bookmarkStart w:id="286" w:name="_Toc2742"/>
      <w:bookmarkStart w:id="287" w:name="_Toc15508"/>
      <w:bookmarkStart w:id="288" w:name="_Toc8233"/>
      <w:bookmarkStart w:id="289" w:name="_Toc22975"/>
      <w:bookmarkStart w:id="290" w:name="_Toc28382"/>
      <w:bookmarkStart w:id="291" w:name="_Toc29885"/>
      <w:bookmarkStart w:id="292" w:name="_Toc15079"/>
      <w:bookmarkStart w:id="293" w:name="_Toc15904"/>
      <w:bookmarkStart w:id="294" w:name="_Toc32328"/>
      <w:bookmarkStart w:id="295" w:name="_Toc12451"/>
      <w:bookmarkStart w:id="296" w:name="_Toc14999"/>
      <w:bookmarkStart w:id="297" w:name="_Toc17362"/>
      <w:bookmarkStart w:id="298" w:name="_Toc9780"/>
      <w:bookmarkStart w:id="299" w:name="_Toc16768"/>
      <w:bookmarkStart w:id="300" w:name="_Toc10477"/>
      <w:bookmarkStart w:id="301" w:name="_Toc3127"/>
      <w:bookmarkStart w:id="302" w:name="_Toc6328"/>
      <w:bookmarkStart w:id="303" w:name="_Toc19478"/>
      <w:bookmarkStart w:id="304" w:name="_Toc11925"/>
      <w:bookmarkStart w:id="305" w:name="_Toc32148"/>
      <w:bookmarkStart w:id="306" w:name="_Toc503280712"/>
      <w:r>
        <w:rPr>
          <w:rFonts w:hint="default" w:ascii="Times New Roman" w:hAnsi="Times New Roman" w:eastAsia="黑体" w:cs="Times New Roman"/>
          <w:b w:val="0"/>
          <w:bCs w:val="0"/>
          <w:color w:val="000000"/>
          <w:sz w:val="32"/>
          <w:szCs w:val="32"/>
          <w:lang w:val="en-US" w:eastAsia="zh-CN" w:bidi="ar-SA"/>
        </w:rPr>
        <w:t>一、</w:t>
      </w:r>
      <w:r>
        <w:rPr>
          <w:rFonts w:hint="default" w:ascii="Times New Roman" w:hAnsi="Times New Roman" w:eastAsia="黑体" w:cs="Times New Roman"/>
          <w:b w:val="0"/>
          <w:bCs w:val="0"/>
          <w:color w:val="000000"/>
          <w:sz w:val="32"/>
          <w:szCs w:val="32"/>
        </w:rPr>
        <w:t>服务期限</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E341F98">
      <w:pPr>
        <w:snapToGrid w:val="0"/>
        <w:spacing w:beforeLines="0" w:afterLines="0" w:line="57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从通过比选确定中选的信用评级机构与</w:t>
      </w:r>
      <w:r>
        <w:rPr>
          <w:rFonts w:hint="default" w:ascii="Times New Roman" w:hAnsi="Times New Roman" w:eastAsia="仿宋_GB2312" w:cs="Times New Roman"/>
          <w:color w:val="000000"/>
          <w:sz w:val="32"/>
          <w:szCs w:val="32"/>
          <w:lang w:val="en-US" w:eastAsia="zh-CN"/>
        </w:rPr>
        <w:t>比选人</w:t>
      </w:r>
      <w:r>
        <w:rPr>
          <w:rFonts w:hint="default" w:ascii="Times New Roman" w:hAnsi="Times New Roman" w:eastAsia="仿宋_GB2312" w:cs="Times New Roman"/>
          <w:color w:val="000000"/>
          <w:sz w:val="32"/>
          <w:szCs w:val="32"/>
        </w:rPr>
        <w:t>签订合同起算，</w:t>
      </w:r>
      <w:r>
        <w:rPr>
          <w:rFonts w:hint="default" w:ascii="Times New Roman" w:hAnsi="Times New Roman" w:eastAsia="仿宋_GB2312" w:cs="Times New Roman"/>
          <w:color w:val="000000"/>
          <w:sz w:val="32"/>
          <w:szCs w:val="32"/>
          <w:lang w:val="en-US" w:eastAsia="zh-CN"/>
        </w:rPr>
        <w:t>至</w:t>
      </w:r>
      <w:r>
        <w:rPr>
          <w:rFonts w:hint="default" w:ascii="Times New Roman" w:hAnsi="Times New Roman" w:eastAsia="仿宋_GB2312" w:cs="Times New Roman"/>
          <w:color w:val="000000"/>
          <w:sz w:val="32"/>
          <w:szCs w:val="32"/>
        </w:rPr>
        <w:t>完成项目约定工作内容为止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最终以合同约定为准。</w:t>
      </w:r>
    </w:p>
    <w:p w14:paraId="266AF8F9">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307" w:name="_Toc6391"/>
      <w:bookmarkStart w:id="308" w:name="_Toc26753"/>
      <w:bookmarkStart w:id="309" w:name="_Toc22488"/>
      <w:bookmarkStart w:id="310" w:name="_Toc29531"/>
      <w:bookmarkStart w:id="311" w:name="_Toc3197"/>
      <w:bookmarkStart w:id="312" w:name="_Toc17837"/>
      <w:bookmarkStart w:id="313" w:name="_Toc21378"/>
      <w:bookmarkStart w:id="314" w:name="_Toc11618"/>
      <w:bookmarkStart w:id="315" w:name="_Toc9045"/>
      <w:bookmarkStart w:id="316" w:name="_Toc14428"/>
      <w:bookmarkStart w:id="317" w:name="_Toc2437"/>
      <w:bookmarkStart w:id="318" w:name="_Toc10269"/>
      <w:bookmarkStart w:id="319" w:name="_Toc30074"/>
      <w:bookmarkStart w:id="320" w:name="_Toc6671"/>
      <w:bookmarkStart w:id="321" w:name="_Toc19817"/>
      <w:bookmarkStart w:id="322" w:name="_Toc19509"/>
      <w:bookmarkStart w:id="323" w:name="_Toc27861"/>
      <w:bookmarkStart w:id="324" w:name="_Toc22869"/>
      <w:bookmarkStart w:id="325" w:name="_Toc12606"/>
      <w:bookmarkStart w:id="326" w:name="_Toc25573"/>
      <w:bookmarkStart w:id="327" w:name="_Toc2340"/>
      <w:bookmarkStart w:id="328" w:name="_Toc22087"/>
      <w:bookmarkStart w:id="329" w:name="_Toc12507"/>
      <w:bookmarkStart w:id="330" w:name="_Toc14286"/>
      <w:bookmarkStart w:id="331" w:name="_Toc27673"/>
      <w:bookmarkStart w:id="332" w:name="_Toc3104"/>
      <w:bookmarkStart w:id="333" w:name="_Toc21497"/>
      <w:r>
        <w:rPr>
          <w:rFonts w:hint="default" w:ascii="Times New Roman" w:hAnsi="Times New Roman" w:eastAsia="黑体" w:cs="Times New Roman"/>
          <w:b w:val="0"/>
          <w:bCs w:val="0"/>
          <w:color w:val="000000"/>
          <w:sz w:val="32"/>
          <w:szCs w:val="32"/>
          <w:lang w:val="en-US" w:eastAsia="zh-CN" w:bidi="ar-SA"/>
        </w:rPr>
        <w:t>二、</w:t>
      </w:r>
      <w:r>
        <w:rPr>
          <w:rFonts w:hint="default" w:ascii="Times New Roman" w:hAnsi="Times New Roman" w:eastAsia="黑体" w:cs="Times New Roman"/>
          <w:b w:val="0"/>
          <w:bCs w:val="0"/>
          <w:color w:val="000000"/>
          <w:sz w:val="32"/>
          <w:szCs w:val="32"/>
        </w:rPr>
        <w:t>委托的主要工作内容</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80611AF">
      <w:pPr>
        <w:snapToGrid w:val="0"/>
        <w:spacing w:beforeLines="0" w:afterLines="0" w:line="570" w:lineRule="exact"/>
        <w:ind w:firstLine="640" w:firstLineChars="200"/>
        <w:rPr>
          <w:rFonts w:hint="default" w:ascii="Times New Roman" w:hAnsi="Times New Roman" w:eastAsia="仿宋_GB2312" w:cs="Times New Roman"/>
          <w:color w:val="000000"/>
          <w:sz w:val="32"/>
          <w:szCs w:val="32"/>
        </w:rPr>
      </w:pPr>
      <w:bookmarkStart w:id="334" w:name="_Toc11169"/>
      <w:bookmarkStart w:id="335" w:name="_Toc3395"/>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color w:val="000000"/>
          <w:sz w:val="32"/>
          <w:szCs w:val="32"/>
          <w:lang w:eastAsia="zh-CN"/>
        </w:rPr>
        <w:t>四川蜀道铁路运营管理集团有限责任公司</w:t>
      </w:r>
      <w:r>
        <w:rPr>
          <w:rFonts w:hint="default" w:ascii="Times New Roman" w:hAnsi="Times New Roman" w:eastAsia="仿宋_GB2312" w:cs="Times New Roman"/>
          <w:color w:val="000000"/>
          <w:sz w:val="32"/>
          <w:szCs w:val="32"/>
        </w:rPr>
        <w:t>提供</w:t>
      </w:r>
      <w:r>
        <w:rPr>
          <w:rFonts w:hint="default" w:ascii="Times New Roman" w:hAnsi="Times New Roman" w:eastAsia="仿宋_GB2312" w:cs="Times New Roman"/>
          <w:color w:val="000000"/>
          <w:sz w:val="32"/>
          <w:szCs w:val="32"/>
          <w:lang w:val="en-US" w:eastAsia="zh-CN"/>
        </w:rPr>
        <w:t>2025年度</w:t>
      </w:r>
      <w:r>
        <w:rPr>
          <w:rFonts w:hint="default" w:ascii="Times New Roman" w:hAnsi="Times New Roman" w:eastAsia="仿宋_GB2312" w:cs="Times New Roman"/>
          <w:color w:val="000000"/>
          <w:sz w:val="32"/>
          <w:szCs w:val="32"/>
        </w:rPr>
        <w:t>主体信用评级服务。</w:t>
      </w:r>
    </w:p>
    <w:bookmarkEnd w:id="334"/>
    <w:bookmarkEnd w:id="335"/>
    <w:p w14:paraId="04562B20">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336" w:name="_Toc8231"/>
      <w:bookmarkStart w:id="337" w:name="_Toc23020"/>
      <w:bookmarkStart w:id="338" w:name="_Toc5842"/>
      <w:bookmarkStart w:id="339" w:name="_Toc21545"/>
      <w:bookmarkStart w:id="340" w:name="_Toc23236"/>
      <w:bookmarkStart w:id="341" w:name="_Toc19452"/>
      <w:bookmarkStart w:id="342" w:name="_Toc1737"/>
      <w:bookmarkStart w:id="343" w:name="_Toc1491"/>
      <w:bookmarkStart w:id="344" w:name="_Toc17910"/>
      <w:bookmarkStart w:id="345" w:name="_Toc3166"/>
      <w:bookmarkStart w:id="346" w:name="_Toc13357"/>
      <w:bookmarkStart w:id="347" w:name="_Toc32695"/>
      <w:bookmarkStart w:id="348" w:name="_Toc13925"/>
      <w:bookmarkStart w:id="349" w:name="_Toc13247"/>
      <w:bookmarkStart w:id="350" w:name="_Toc1202"/>
      <w:bookmarkStart w:id="351" w:name="_Toc10391"/>
      <w:bookmarkStart w:id="352" w:name="_Toc85"/>
      <w:bookmarkStart w:id="353" w:name="_Toc446"/>
      <w:bookmarkStart w:id="354" w:name="_Toc20628"/>
      <w:bookmarkStart w:id="355" w:name="_Toc29708"/>
      <w:bookmarkStart w:id="356" w:name="_Toc18908"/>
      <w:bookmarkStart w:id="357" w:name="_Toc27350"/>
      <w:bookmarkStart w:id="358" w:name="_Toc18873"/>
      <w:bookmarkStart w:id="359" w:name="_Toc13244"/>
      <w:bookmarkStart w:id="360" w:name="_Toc23150"/>
      <w:r>
        <w:rPr>
          <w:rFonts w:hint="default" w:ascii="Times New Roman" w:hAnsi="Times New Roman" w:eastAsia="黑体" w:cs="Times New Roman"/>
          <w:b w:val="0"/>
          <w:bCs w:val="0"/>
          <w:color w:val="000000"/>
          <w:sz w:val="32"/>
          <w:szCs w:val="32"/>
          <w:lang w:val="en-US" w:eastAsia="zh-CN" w:bidi="ar-SA"/>
        </w:rPr>
        <w:t>三、</w:t>
      </w:r>
      <w:r>
        <w:rPr>
          <w:rFonts w:hint="default" w:ascii="Times New Roman" w:hAnsi="Times New Roman" w:eastAsia="黑体" w:cs="Times New Roman"/>
          <w:b w:val="0"/>
          <w:bCs w:val="0"/>
          <w:color w:val="000000"/>
          <w:sz w:val="32"/>
          <w:szCs w:val="32"/>
          <w:lang w:eastAsia="zh-CN"/>
        </w:rPr>
        <w:t>比选申请人</w:t>
      </w:r>
      <w:r>
        <w:rPr>
          <w:rFonts w:hint="default" w:ascii="Times New Roman" w:hAnsi="Times New Roman" w:eastAsia="黑体" w:cs="Times New Roman"/>
          <w:b w:val="0"/>
          <w:bCs w:val="0"/>
          <w:color w:val="000000"/>
          <w:sz w:val="32"/>
          <w:szCs w:val="32"/>
        </w:rPr>
        <w:t>主体资格要求</w:t>
      </w:r>
      <w:bookmarkEnd w:id="38"/>
      <w:bookmarkEnd w:id="306"/>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1708A6F1">
      <w:pPr>
        <w:numPr>
          <w:ilvl w:val="0"/>
          <w:numId w:val="0"/>
        </w:numPr>
        <w:snapToGrid w:val="0"/>
        <w:spacing w:beforeLines="0" w:afterLines="0" w:line="570" w:lineRule="exact"/>
        <w:ind w:left="0" w:leftChars="0" w:firstLine="640" w:firstLineChars="200"/>
        <w:rPr>
          <w:rFonts w:hint="default" w:ascii="Times New Roman" w:hAnsi="Times New Roman" w:eastAsia="方正楷体_GB2312" w:cs="Times New Roman"/>
          <w:b w:val="0"/>
          <w:bCs/>
          <w:color w:val="000000"/>
          <w:sz w:val="32"/>
          <w:szCs w:val="32"/>
        </w:rPr>
      </w:pPr>
      <w:r>
        <w:rPr>
          <w:rFonts w:hint="default" w:ascii="Times New Roman" w:hAnsi="Times New Roman" w:eastAsia="方正楷体_GB2312" w:cs="Times New Roman"/>
          <w:b w:val="0"/>
          <w:bCs/>
          <w:color w:val="000000"/>
          <w:sz w:val="32"/>
          <w:szCs w:val="32"/>
          <w:lang w:eastAsia="zh-CN"/>
        </w:rPr>
        <w:t>（</w:t>
      </w:r>
      <w:r>
        <w:rPr>
          <w:rFonts w:hint="default" w:ascii="Times New Roman" w:hAnsi="Times New Roman" w:eastAsia="方正楷体_GB2312" w:cs="Times New Roman"/>
          <w:b w:val="0"/>
          <w:bCs/>
          <w:color w:val="000000"/>
          <w:sz w:val="32"/>
          <w:szCs w:val="32"/>
          <w:lang w:val="en-US" w:eastAsia="zh-CN"/>
        </w:rPr>
        <w:t>一）</w:t>
      </w:r>
      <w:r>
        <w:rPr>
          <w:rFonts w:hint="default" w:ascii="Times New Roman" w:hAnsi="Times New Roman" w:eastAsia="方正楷体_GB2312" w:cs="Times New Roman"/>
          <w:b w:val="0"/>
          <w:bCs/>
          <w:color w:val="000000"/>
          <w:sz w:val="32"/>
          <w:szCs w:val="32"/>
        </w:rPr>
        <w:t>是否接受联合体参加比选</w:t>
      </w:r>
    </w:p>
    <w:p w14:paraId="6643D40F">
      <w:pPr>
        <w:snapToGrid w:val="0"/>
        <w:spacing w:beforeLines="0" w:afterLines="0" w:line="57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本次比选</w:t>
      </w:r>
      <w:r>
        <w:rPr>
          <w:rFonts w:hint="default" w:ascii="Times New Roman" w:hAnsi="Times New Roman" w:eastAsia="仿宋_GB2312" w:cs="Times New Roman"/>
          <w:b/>
          <w:color w:val="000000"/>
          <w:sz w:val="32"/>
          <w:szCs w:val="32"/>
        </w:rPr>
        <w:t>不接受</w:t>
      </w:r>
      <w:r>
        <w:rPr>
          <w:rFonts w:hint="default" w:ascii="Times New Roman" w:hAnsi="Times New Roman" w:eastAsia="仿宋_GB2312" w:cs="Times New Roman"/>
          <w:color w:val="000000"/>
          <w:sz w:val="32"/>
          <w:szCs w:val="32"/>
        </w:rPr>
        <w:t>联合体参选。</w:t>
      </w:r>
    </w:p>
    <w:p w14:paraId="45150B05">
      <w:pPr>
        <w:spacing w:beforeLines="0" w:afterLines="0" w:line="570" w:lineRule="exact"/>
        <w:ind w:firstLine="640" w:firstLineChars="200"/>
        <w:rPr>
          <w:rFonts w:hint="default" w:ascii="Times New Roman" w:hAnsi="Times New Roman" w:eastAsia="方正楷体_GB2312" w:cs="Times New Roman"/>
          <w:b w:val="0"/>
          <w:bCs/>
          <w:color w:val="000000"/>
          <w:sz w:val="32"/>
          <w:szCs w:val="32"/>
        </w:rPr>
      </w:pPr>
      <w:r>
        <w:rPr>
          <w:rFonts w:hint="default" w:ascii="Times New Roman" w:hAnsi="Times New Roman" w:eastAsia="方正楷体_GB2312" w:cs="Times New Roman"/>
          <w:b w:val="0"/>
          <w:bCs/>
          <w:color w:val="000000"/>
          <w:sz w:val="32"/>
          <w:szCs w:val="32"/>
        </w:rPr>
        <w:t>（二）</w:t>
      </w:r>
      <w:r>
        <w:rPr>
          <w:rFonts w:hint="default" w:ascii="Times New Roman" w:hAnsi="Times New Roman" w:eastAsia="方正楷体_GB2312" w:cs="Times New Roman"/>
          <w:b w:val="0"/>
          <w:bCs/>
          <w:color w:val="000000"/>
          <w:sz w:val="32"/>
          <w:szCs w:val="32"/>
          <w:lang w:eastAsia="zh-CN"/>
        </w:rPr>
        <w:t>比选申请人</w:t>
      </w:r>
      <w:r>
        <w:rPr>
          <w:rFonts w:hint="default" w:ascii="Times New Roman" w:hAnsi="Times New Roman" w:eastAsia="方正楷体_GB2312" w:cs="Times New Roman"/>
          <w:b w:val="0"/>
          <w:bCs/>
          <w:color w:val="000000"/>
          <w:sz w:val="32"/>
          <w:szCs w:val="32"/>
        </w:rPr>
        <w:t>资格要求</w:t>
      </w:r>
    </w:p>
    <w:p w14:paraId="15737676">
      <w:pPr>
        <w:snapToGrid w:val="0"/>
        <w:spacing w:beforeLines="0" w:afterLines="0" w:line="57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1.在中国境内注册，具有独立法人资格；</w:t>
      </w:r>
    </w:p>
    <w:p w14:paraId="4ECBABE2">
      <w:pPr>
        <w:snapToGrid w:val="0"/>
        <w:spacing w:beforeLines="0" w:afterLines="0" w:line="57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评级业务资质：</w:t>
      </w:r>
      <w:r>
        <w:rPr>
          <w:rFonts w:hint="default" w:ascii="Times New Roman" w:hAnsi="Times New Roman" w:eastAsia="仿宋_GB2312" w:cs="Times New Roman"/>
          <w:sz w:val="32"/>
          <w:szCs w:val="32"/>
        </w:rPr>
        <w:t>由中国证券监督管理委员会及中国银行间市场交易商协会认定的具有开展评级业务资质的评级机构</w:t>
      </w:r>
      <w:r>
        <w:rPr>
          <w:rFonts w:hint="default" w:ascii="Times New Roman" w:hAnsi="Times New Roman" w:eastAsia="仿宋_GB2312" w:cs="Times New Roman"/>
          <w:sz w:val="32"/>
          <w:szCs w:val="32"/>
          <w:lang w:eastAsia="zh-CN"/>
        </w:rPr>
        <w:t>；</w:t>
      </w:r>
    </w:p>
    <w:p w14:paraId="272820F0">
      <w:pPr>
        <w:snapToGrid w:val="0"/>
        <w:spacing w:beforeLines="0" w:afterLines="0" w:line="57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highlight w:val="none"/>
        </w:rPr>
        <w:t>在</w:t>
      </w:r>
      <w:r>
        <w:rPr>
          <w:rFonts w:hint="default" w:ascii="Times New Roman" w:hAnsi="Times New Roman" w:eastAsia="仿宋_GB2312" w:cs="Times New Roman"/>
          <w:color w:val="000000"/>
          <w:sz w:val="32"/>
          <w:szCs w:val="32"/>
          <w:highlight w:val="none"/>
          <w:lang w:val="en-US" w:eastAsia="zh-CN"/>
        </w:rPr>
        <w:t>申请比选</w:t>
      </w:r>
      <w:r>
        <w:rPr>
          <w:rFonts w:hint="default" w:ascii="Times New Roman" w:hAnsi="Times New Roman" w:eastAsia="仿宋_GB2312" w:cs="Times New Roman"/>
          <w:color w:val="000000"/>
          <w:sz w:val="32"/>
          <w:szCs w:val="32"/>
          <w:highlight w:val="none"/>
        </w:rPr>
        <w:t>时，不处于被监管机构暂停评级业务期间</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须提供承诺函</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p>
    <w:p w14:paraId="2D5A2362">
      <w:pPr>
        <w:snapToGrid w:val="0"/>
        <w:spacing w:beforeLines="0" w:afterLines="0" w:line="57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4.法律、行政法规、规范性文件及自律规范规定的其他条件</w:t>
      </w:r>
      <w:r>
        <w:rPr>
          <w:rFonts w:hint="default" w:ascii="Times New Roman" w:hAnsi="Times New Roman" w:eastAsia="仿宋_GB2312" w:cs="Times New Roman"/>
          <w:color w:val="000000"/>
          <w:sz w:val="32"/>
          <w:szCs w:val="32"/>
          <w:highlight w:val="none"/>
          <w:lang w:eastAsia="zh-CN"/>
        </w:rPr>
        <w:t>；</w:t>
      </w:r>
    </w:p>
    <w:p w14:paraId="5F668EED">
      <w:pPr>
        <w:keepLines w:val="0"/>
        <w:pageBreakBefore w:val="0"/>
        <w:widowControl w:val="0"/>
        <w:kinsoku/>
        <w:wordWrap/>
        <w:overflowPunct/>
        <w:topLinePunct w:val="0"/>
        <w:autoSpaceDE/>
        <w:autoSpaceDN/>
        <w:bidi w:val="0"/>
        <w:adjustRightInd/>
        <w:snapToGrid w:val="0"/>
        <w:spacing w:beforeLines="0" w:afterLines="0"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highlight w:val="none"/>
          <w:lang w:val="en-US" w:eastAsia="zh-CN"/>
        </w:rPr>
        <w:t>5.比选申请人</w:t>
      </w:r>
      <w:r>
        <w:rPr>
          <w:rFonts w:hint="default" w:ascii="Times New Roman" w:hAnsi="Times New Roman" w:eastAsia="仿宋_GB2312" w:cs="Times New Roman"/>
          <w:color w:val="000000"/>
          <w:sz w:val="32"/>
          <w:szCs w:val="32"/>
          <w:highlight w:val="none"/>
        </w:rPr>
        <w:t>未在“信用中国”网站（http：//www.creditchina.gov.cn/）中被列入失信被执行人名单，未在国家企业信用信息公示系统(http://www.gsxt. gov.cn/)中被列入严重违法失信企业名单”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提供相关截图</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p>
    <w:p w14:paraId="59308D6C">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361" w:name="_Toc15401"/>
      <w:bookmarkStart w:id="362" w:name="_Toc23595"/>
      <w:bookmarkStart w:id="363" w:name="_Toc31630"/>
      <w:bookmarkStart w:id="364" w:name="_Toc10136"/>
      <w:bookmarkStart w:id="365" w:name="_Toc12338"/>
      <w:bookmarkStart w:id="366" w:name="_Toc32661"/>
      <w:bookmarkStart w:id="367" w:name="_Toc15446"/>
      <w:bookmarkStart w:id="368" w:name="_Toc18284"/>
      <w:bookmarkStart w:id="369" w:name="_Toc23370"/>
      <w:bookmarkStart w:id="370" w:name="_Toc31481"/>
      <w:bookmarkStart w:id="371" w:name="_Toc6101"/>
      <w:bookmarkStart w:id="372" w:name="_Toc27443"/>
      <w:bookmarkStart w:id="373" w:name="_Toc6220"/>
      <w:bookmarkStart w:id="374" w:name="_Toc12214"/>
      <w:bookmarkStart w:id="375" w:name="_Toc6828"/>
      <w:bookmarkStart w:id="376" w:name="_Toc8548"/>
      <w:bookmarkStart w:id="377" w:name="_Toc11136"/>
      <w:bookmarkStart w:id="378" w:name="_Toc21438"/>
      <w:bookmarkStart w:id="379" w:name="_Toc26631"/>
      <w:bookmarkStart w:id="380" w:name="_Toc20526"/>
      <w:bookmarkStart w:id="381" w:name="_Toc12671"/>
      <w:bookmarkStart w:id="382" w:name="_Toc21808"/>
      <w:bookmarkStart w:id="383" w:name="_Toc6967"/>
      <w:bookmarkStart w:id="384" w:name="_Toc22862"/>
      <w:bookmarkStart w:id="385" w:name="_Toc13797"/>
      <w:bookmarkStart w:id="386" w:name="_Toc503280713"/>
      <w:r>
        <w:rPr>
          <w:rFonts w:hint="default" w:ascii="Times New Roman" w:hAnsi="Times New Roman" w:eastAsia="黑体" w:cs="Times New Roman"/>
          <w:b w:val="0"/>
          <w:bCs w:val="0"/>
          <w:color w:val="000000"/>
          <w:sz w:val="32"/>
          <w:szCs w:val="32"/>
          <w:lang w:val="en-US" w:eastAsia="zh-CN" w:bidi="ar-SA"/>
        </w:rPr>
        <w:t>四、</w:t>
      </w:r>
      <w:r>
        <w:rPr>
          <w:rFonts w:hint="default" w:ascii="Times New Roman" w:hAnsi="Times New Roman" w:eastAsia="黑体" w:cs="Times New Roman"/>
          <w:b w:val="0"/>
          <w:bCs w:val="0"/>
          <w:color w:val="000000"/>
          <w:sz w:val="32"/>
          <w:szCs w:val="32"/>
        </w:rPr>
        <w:t>比选金额限价</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B28FE82">
      <w:pPr>
        <w:snapToGrid w:val="0"/>
        <w:spacing w:beforeLines="0" w:afterLines="0" w:line="57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（一）报价最高限价</w:t>
      </w:r>
      <w:r>
        <w:rPr>
          <w:rFonts w:hint="default" w:ascii="Times New Roman" w:hAnsi="Times New Roman" w:eastAsia="仿宋_GB2312" w:cs="Times New Roman"/>
          <w:color w:val="000000"/>
          <w:sz w:val="32"/>
          <w:szCs w:val="32"/>
          <w:lang w:val="en-US" w:eastAsia="zh-CN"/>
        </w:rPr>
        <w:t>不高于</w:t>
      </w:r>
      <w:r>
        <w:rPr>
          <w:rFonts w:hint="default" w:ascii="Times New Roman" w:hAnsi="Times New Roman" w:eastAsia="仿宋_GB2312" w:cs="Times New Roman"/>
          <w:color w:val="000000"/>
          <w:sz w:val="32"/>
          <w:szCs w:val="32"/>
          <w:highlight w:val="none"/>
          <w:lang w:val="en-US" w:eastAsia="zh-CN"/>
        </w:rPr>
        <w:t>25</w:t>
      </w:r>
      <w:r>
        <w:rPr>
          <w:rFonts w:hint="default" w:ascii="Times New Roman" w:hAnsi="Times New Roman" w:eastAsia="仿宋_GB2312" w:cs="Times New Roman"/>
          <w:color w:val="000000"/>
          <w:sz w:val="32"/>
          <w:szCs w:val="32"/>
          <w:highlight w:val="none"/>
        </w:rPr>
        <w:t>万元（人民币</w:t>
      </w:r>
      <w:r>
        <w:rPr>
          <w:rFonts w:hint="default" w:ascii="Times New Roman" w:hAnsi="Times New Roman" w:eastAsia="仿宋_GB2312" w:cs="Times New Roman"/>
          <w:color w:val="000000"/>
          <w:sz w:val="32"/>
          <w:szCs w:val="32"/>
          <w:highlight w:val="none"/>
          <w:lang w:val="en-US" w:eastAsia="zh-CN"/>
        </w:rPr>
        <w:t>含税价</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比选申请人</w:t>
      </w:r>
      <w:r>
        <w:rPr>
          <w:rFonts w:hint="default" w:ascii="Times New Roman" w:hAnsi="Times New Roman" w:eastAsia="仿宋_GB2312" w:cs="Times New Roman"/>
          <w:color w:val="000000"/>
          <w:sz w:val="32"/>
          <w:szCs w:val="32"/>
        </w:rPr>
        <w:t>应充分计算和考虑其完成比选项目需要支付的差旅费等各项费用并计入比选报价总价，比选人不负责承担</w:t>
      </w:r>
      <w:r>
        <w:rPr>
          <w:rFonts w:hint="default" w:ascii="Times New Roman" w:hAnsi="Times New Roman" w:eastAsia="仿宋_GB2312" w:cs="Times New Roman"/>
          <w:color w:val="000000"/>
          <w:sz w:val="32"/>
          <w:szCs w:val="32"/>
          <w:lang w:eastAsia="zh-CN"/>
        </w:rPr>
        <w:t>比选申请人</w:t>
      </w:r>
      <w:r>
        <w:rPr>
          <w:rFonts w:hint="default" w:ascii="Times New Roman" w:hAnsi="Times New Roman" w:eastAsia="仿宋_GB2312" w:cs="Times New Roman"/>
          <w:color w:val="000000"/>
          <w:sz w:val="32"/>
          <w:szCs w:val="32"/>
        </w:rPr>
        <w:t>因中选后开展项目应支付的差旅费及其他费用。</w:t>
      </w:r>
    </w:p>
    <w:p w14:paraId="398B893F">
      <w:pPr>
        <w:snapToGrid w:val="0"/>
        <w:spacing w:beforeLines="0" w:afterLines="0" w:line="57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eastAsia="zh-CN"/>
        </w:rPr>
        <w:t>比选申请人</w:t>
      </w:r>
      <w:r>
        <w:rPr>
          <w:rFonts w:hint="default" w:ascii="Times New Roman" w:hAnsi="Times New Roman" w:eastAsia="仿宋_GB2312" w:cs="Times New Roman"/>
          <w:color w:val="000000"/>
          <w:sz w:val="32"/>
          <w:szCs w:val="32"/>
        </w:rPr>
        <w:t>不得以低于成本的报价进行恶性竞争，最低比选报价并非中选的唯一条件。</w:t>
      </w:r>
    </w:p>
    <w:p w14:paraId="5F79BCCE">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387" w:name="_Toc5274"/>
      <w:bookmarkStart w:id="388" w:name="_Toc756"/>
      <w:bookmarkStart w:id="389" w:name="_Toc15910"/>
      <w:bookmarkStart w:id="390" w:name="_Toc4037"/>
      <w:bookmarkStart w:id="391" w:name="_Toc21031"/>
      <w:bookmarkStart w:id="392" w:name="_Toc10582"/>
      <w:bookmarkStart w:id="393" w:name="_Toc4881"/>
      <w:bookmarkStart w:id="394" w:name="_Toc31636"/>
      <w:bookmarkStart w:id="395" w:name="_Toc728"/>
      <w:bookmarkStart w:id="396" w:name="_Toc2311"/>
      <w:bookmarkStart w:id="397" w:name="_Toc16971"/>
      <w:bookmarkStart w:id="398" w:name="_Toc9256"/>
      <w:bookmarkStart w:id="399" w:name="_Toc16089"/>
      <w:bookmarkStart w:id="400" w:name="_Toc23289"/>
      <w:bookmarkStart w:id="401" w:name="_Toc30366"/>
      <w:bookmarkStart w:id="402" w:name="_Toc857"/>
      <w:bookmarkStart w:id="403" w:name="_Toc6432"/>
      <w:bookmarkStart w:id="404" w:name="_Toc32311"/>
      <w:bookmarkStart w:id="405" w:name="_Toc584"/>
      <w:bookmarkStart w:id="406" w:name="_Toc29079"/>
      <w:bookmarkStart w:id="407" w:name="_Toc8457"/>
      <w:bookmarkStart w:id="408" w:name="_Toc1838"/>
      <w:r>
        <w:rPr>
          <w:rFonts w:hint="default" w:ascii="Times New Roman" w:hAnsi="Times New Roman" w:eastAsia="黑体" w:cs="Times New Roman"/>
          <w:b w:val="0"/>
          <w:bCs w:val="0"/>
          <w:color w:val="000000"/>
          <w:sz w:val="32"/>
          <w:szCs w:val="32"/>
          <w:lang w:val="en-US" w:eastAsia="zh-CN" w:bidi="ar-SA"/>
        </w:rPr>
        <w:t>五、</w:t>
      </w:r>
      <w:r>
        <w:rPr>
          <w:rFonts w:hint="default" w:ascii="Times New Roman" w:hAnsi="Times New Roman" w:eastAsia="黑体" w:cs="Times New Roman"/>
          <w:b w:val="0"/>
          <w:bCs w:val="0"/>
          <w:color w:val="000000"/>
          <w:sz w:val="32"/>
          <w:szCs w:val="32"/>
          <w:lang w:val="en-US"/>
        </w:rPr>
        <w:t>比选</w:t>
      </w:r>
      <w:r>
        <w:rPr>
          <w:rFonts w:hint="default" w:ascii="Times New Roman" w:hAnsi="Times New Roman" w:eastAsia="黑体" w:cs="Times New Roman"/>
          <w:b w:val="0"/>
          <w:bCs w:val="0"/>
          <w:color w:val="000000"/>
          <w:sz w:val="32"/>
          <w:szCs w:val="32"/>
        </w:rPr>
        <w:t>文件的答疑和补遗的发布</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6B9C90E8">
      <w:pPr>
        <w:keepNext w:val="0"/>
        <w:keepLines w:val="0"/>
        <w:pageBreakBefore w:val="0"/>
        <w:widowControl w:val="0"/>
        <w:kinsoku/>
        <w:wordWrap/>
        <w:overflowPunct/>
        <w:topLinePunct w:val="0"/>
        <w:autoSpaceDE/>
        <w:autoSpaceDN/>
        <w:bidi w:val="0"/>
        <w:adjustRightInd/>
        <w:spacing w:beforeLines="0" w:afterLines="0" w:line="570" w:lineRule="exact"/>
        <w:ind w:left="0" w:leftChars="0"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要求答疑</w:t>
      </w:r>
      <w:r>
        <w:rPr>
          <w:rFonts w:hint="default" w:ascii="Times New Roman" w:hAnsi="Times New Roman" w:eastAsia="仿宋_GB2312" w:cs="Times New Roman"/>
          <w:bCs/>
          <w:sz w:val="32"/>
          <w:szCs w:val="32"/>
          <w:highlight w:val="none"/>
          <w:lang w:val="en-US"/>
        </w:rPr>
        <w:t>比选</w:t>
      </w:r>
      <w:r>
        <w:rPr>
          <w:rFonts w:hint="default" w:ascii="Times New Roman" w:hAnsi="Times New Roman" w:eastAsia="仿宋_GB2312" w:cs="Times New Roman"/>
          <w:bCs/>
          <w:sz w:val="32"/>
          <w:szCs w:val="32"/>
          <w:highlight w:val="none"/>
        </w:rPr>
        <w:t>文件的比选</w:t>
      </w:r>
      <w:r>
        <w:rPr>
          <w:rFonts w:hint="default" w:ascii="Times New Roman" w:hAnsi="Times New Roman" w:eastAsia="仿宋_GB2312" w:cs="Times New Roman"/>
          <w:bCs/>
          <w:sz w:val="32"/>
          <w:szCs w:val="32"/>
          <w:highlight w:val="none"/>
          <w:lang w:val="en-US" w:eastAsia="zh-CN"/>
        </w:rPr>
        <w:t>申请</w:t>
      </w:r>
      <w:r>
        <w:rPr>
          <w:rFonts w:hint="default" w:ascii="Times New Roman" w:hAnsi="Times New Roman" w:eastAsia="仿宋_GB2312" w:cs="Times New Roman"/>
          <w:bCs/>
          <w:sz w:val="32"/>
          <w:szCs w:val="32"/>
          <w:highlight w:val="none"/>
        </w:rPr>
        <w:t>人对</w:t>
      </w:r>
      <w:r>
        <w:rPr>
          <w:rFonts w:hint="default" w:ascii="Times New Roman" w:hAnsi="Times New Roman" w:eastAsia="仿宋_GB2312" w:cs="Times New Roman"/>
          <w:bCs/>
          <w:sz w:val="32"/>
          <w:szCs w:val="32"/>
          <w:highlight w:val="none"/>
          <w:lang w:val="en-US"/>
        </w:rPr>
        <w:t>比选</w:t>
      </w:r>
      <w:r>
        <w:rPr>
          <w:rFonts w:hint="default" w:ascii="Times New Roman" w:hAnsi="Times New Roman" w:eastAsia="仿宋_GB2312" w:cs="Times New Roman"/>
          <w:bCs/>
          <w:sz w:val="32"/>
          <w:szCs w:val="32"/>
          <w:highlight w:val="none"/>
        </w:rPr>
        <w:t>文件理解不清或有疑问的，可于正式</w:t>
      </w:r>
      <w:r>
        <w:rPr>
          <w:rFonts w:hint="default" w:ascii="Times New Roman" w:hAnsi="Times New Roman" w:eastAsia="仿宋_GB2312" w:cs="Times New Roman"/>
          <w:bCs/>
          <w:sz w:val="32"/>
          <w:szCs w:val="32"/>
          <w:highlight w:val="none"/>
          <w:lang w:val="en-US"/>
        </w:rPr>
        <w:t>比选</w:t>
      </w:r>
      <w:r>
        <w:rPr>
          <w:rFonts w:hint="default" w:ascii="Times New Roman" w:hAnsi="Times New Roman" w:eastAsia="仿宋_GB2312" w:cs="Times New Roman"/>
          <w:bCs/>
          <w:sz w:val="32"/>
          <w:szCs w:val="32"/>
          <w:highlight w:val="none"/>
        </w:rPr>
        <w:t>日</w:t>
      </w:r>
      <w:r>
        <w:rPr>
          <w:rFonts w:hint="default" w:ascii="Times New Roman" w:hAnsi="Times New Roman" w:eastAsia="仿宋_GB2312" w:cs="Times New Roman"/>
          <w:bCs/>
          <w:sz w:val="32"/>
          <w:szCs w:val="32"/>
          <w:highlight w:val="none"/>
          <w:lang w:val="en-US" w:eastAsia="zh-CN"/>
        </w:rPr>
        <w:t>3</w:t>
      </w:r>
      <w:r>
        <w:rPr>
          <w:rFonts w:hint="default" w:ascii="Times New Roman" w:hAnsi="Times New Roman" w:eastAsia="仿宋_GB2312" w:cs="Times New Roman"/>
          <w:bCs/>
          <w:sz w:val="32"/>
          <w:szCs w:val="32"/>
          <w:highlight w:val="none"/>
        </w:rPr>
        <w:t>个工作日前要求比选人进行答疑</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比选人认为有必要解释的问题将在截止正式</w:t>
      </w:r>
      <w:r>
        <w:rPr>
          <w:rFonts w:hint="default" w:ascii="Times New Roman" w:hAnsi="Times New Roman" w:eastAsia="仿宋_GB2312" w:cs="Times New Roman"/>
          <w:bCs/>
          <w:sz w:val="32"/>
          <w:szCs w:val="32"/>
          <w:highlight w:val="none"/>
          <w:lang w:val="en-US"/>
        </w:rPr>
        <w:t>比选</w:t>
      </w:r>
      <w:r>
        <w:rPr>
          <w:rFonts w:hint="default" w:ascii="Times New Roman" w:hAnsi="Times New Roman" w:eastAsia="仿宋_GB2312" w:cs="Times New Roman"/>
          <w:bCs/>
          <w:sz w:val="32"/>
          <w:szCs w:val="32"/>
          <w:highlight w:val="none"/>
        </w:rPr>
        <w:t>3天前答复。</w:t>
      </w:r>
    </w:p>
    <w:p w14:paraId="057BDC6F">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409" w:name="_Toc16962"/>
      <w:bookmarkStart w:id="410" w:name="_Toc25171"/>
      <w:bookmarkStart w:id="411" w:name="_Toc23641"/>
      <w:bookmarkStart w:id="412" w:name="_Toc19536"/>
      <w:bookmarkStart w:id="413" w:name="_Toc22989"/>
      <w:bookmarkStart w:id="414" w:name="_Toc31363"/>
      <w:bookmarkStart w:id="415" w:name="_Toc6778"/>
      <w:bookmarkStart w:id="416" w:name="_Toc30181"/>
      <w:bookmarkStart w:id="417" w:name="_Toc10442"/>
      <w:bookmarkStart w:id="418" w:name="_Toc8031"/>
      <w:bookmarkStart w:id="419" w:name="_Toc16437"/>
      <w:bookmarkStart w:id="420" w:name="_Toc17685"/>
      <w:bookmarkStart w:id="421" w:name="_Toc30011"/>
      <w:bookmarkStart w:id="422" w:name="_Toc2280"/>
      <w:bookmarkStart w:id="423" w:name="_Toc4053"/>
      <w:bookmarkStart w:id="424" w:name="_Toc11122"/>
      <w:bookmarkStart w:id="425" w:name="_Toc31258"/>
      <w:bookmarkStart w:id="426" w:name="_Toc2409"/>
      <w:bookmarkStart w:id="427" w:name="_Toc24060"/>
      <w:bookmarkStart w:id="428" w:name="_Toc27707"/>
      <w:bookmarkStart w:id="429" w:name="_Toc1088"/>
      <w:bookmarkStart w:id="430" w:name="_Toc11895"/>
      <w:r>
        <w:rPr>
          <w:rFonts w:hint="default" w:ascii="Times New Roman" w:hAnsi="Times New Roman" w:eastAsia="黑体" w:cs="Times New Roman"/>
          <w:b w:val="0"/>
          <w:bCs w:val="0"/>
          <w:color w:val="000000"/>
          <w:sz w:val="32"/>
          <w:szCs w:val="32"/>
          <w:lang w:val="en-US" w:eastAsia="zh-CN" w:bidi="ar-SA"/>
        </w:rPr>
        <w:t>六、</w:t>
      </w:r>
      <w:r>
        <w:rPr>
          <w:rFonts w:hint="default" w:ascii="Times New Roman" w:hAnsi="Times New Roman" w:eastAsia="黑体" w:cs="Times New Roman"/>
          <w:b w:val="0"/>
          <w:bCs w:val="0"/>
          <w:color w:val="000000"/>
          <w:sz w:val="32"/>
          <w:szCs w:val="32"/>
          <w:lang w:val="en-US"/>
        </w:rPr>
        <w:t>比选</w:t>
      </w:r>
      <w:r>
        <w:rPr>
          <w:rFonts w:hint="default" w:ascii="Times New Roman" w:hAnsi="Times New Roman" w:eastAsia="黑体" w:cs="Times New Roman"/>
          <w:b w:val="0"/>
          <w:bCs w:val="0"/>
          <w:color w:val="000000"/>
          <w:sz w:val="32"/>
          <w:szCs w:val="32"/>
        </w:rPr>
        <w:t>文件的修改</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4AA5D59">
      <w:pPr>
        <w:keepNext w:val="0"/>
        <w:keepLines w:val="0"/>
        <w:pageBreakBefore w:val="0"/>
        <w:widowControl w:val="0"/>
        <w:tabs>
          <w:tab w:val="left" w:pos="540"/>
        </w:tabs>
        <w:kinsoku/>
        <w:wordWrap/>
        <w:overflowPunct/>
        <w:topLinePunct w:val="0"/>
        <w:autoSpaceDE/>
        <w:autoSpaceDN/>
        <w:bidi w:val="0"/>
        <w:adjustRightInd/>
        <w:spacing w:beforeLines="0" w:afterLines="0" w:line="57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比选人在正式</w:t>
      </w:r>
      <w:r>
        <w:rPr>
          <w:rFonts w:hint="default" w:ascii="Times New Roman" w:hAnsi="Times New Roman" w:eastAsia="仿宋_GB2312" w:cs="Times New Roman"/>
          <w:sz w:val="32"/>
          <w:szCs w:val="32"/>
          <w:highlight w:val="none"/>
          <w:lang w:val="en-US"/>
        </w:rPr>
        <w:t>比选</w:t>
      </w:r>
      <w:r>
        <w:rPr>
          <w:rFonts w:hint="default" w:ascii="Times New Roman" w:hAnsi="Times New Roman" w:eastAsia="仿宋_GB2312" w:cs="Times New Roman"/>
          <w:sz w:val="32"/>
          <w:szCs w:val="32"/>
          <w:highlight w:val="none"/>
        </w:rPr>
        <w:t>前，可以对</w:t>
      </w:r>
      <w:r>
        <w:rPr>
          <w:rFonts w:hint="default" w:ascii="Times New Roman" w:hAnsi="Times New Roman" w:eastAsia="仿宋_GB2312" w:cs="Times New Roman"/>
          <w:sz w:val="32"/>
          <w:szCs w:val="32"/>
          <w:highlight w:val="none"/>
          <w:lang w:val="en-US"/>
        </w:rPr>
        <w:t>比选</w:t>
      </w:r>
      <w:r>
        <w:rPr>
          <w:rFonts w:hint="default" w:ascii="Times New Roman" w:hAnsi="Times New Roman" w:eastAsia="仿宋_GB2312" w:cs="Times New Roman"/>
          <w:sz w:val="32"/>
          <w:szCs w:val="32"/>
          <w:highlight w:val="none"/>
        </w:rPr>
        <w:t>文件进行修改，这种修改可以是比选人主动提出的，也可以是为解答比选</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rPr>
        <w:t>人澄清的问题做出的。</w:t>
      </w:r>
    </w:p>
    <w:p w14:paraId="0345635A">
      <w:pPr>
        <w:keepNext w:val="0"/>
        <w:keepLines w:val="0"/>
        <w:pageBreakBefore w:val="0"/>
        <w:widowControl w:val="0"/>
        <w:tabs>
          <w:tab w:val="left" w:pos="540"/>
        </w:tabs>
        <w:kinsoku/>
        <w:wordWrap/>
        <w:overflowPunct/>
        <w:topLinePunct w:val="0"/>
        <w:autoSpaceDE/>
        <w:autoSpaceDN/>
        <w:bidi w:val="0"/>
        <w:adjustRightInd/>
        <w:spacing w:beforeLines="0" w:afterLines="0" w:line="57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修改条款将以书面形式发给所有获得</w:t>
      </w:r>
      <w:r>
        <w:rPr>
          <w:rFonts w:hint="default" w:ascii="Times New Roman" w:hAnsi="Times New Roman" w:eastAsia="仿宋_GB2312" w:cs="Times New Roman"/>
          <w:sz w:val="32"/>
          <w:szCs w:val="32"/>
          <w:highlight w:val="none"/>
          <w:lang w:val="en-US"/>
        </w:rPr>
        <w:t>比选</w:t>
      </w:r>
      <w:r>
        <w:rPr>
          <w:rFonts w:hint="default" w:ascii="Times New Roman" w:hAnsi="Times New Roman" w:eastAsia="仿宋_GB2312" w:cs="Times New Roman"/>
          <w:sz w:val="32"/>
          <w:szCs w:val="32"/>
          <w:highlight w:val="none"/>
        </w:rPr>
        <w:t>文件的比选</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并对其有约束力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sz w:val="32"/>
          <w:szCs w:val="32"/>
          <w:highlight w:val="none"/>
          <w:lang w:val="en-US"/>
        </w:rPr>
        <w:t>比选</w:t>
      </w:r>
      <w:r>
        <w:rPr>
          <w:rFonts w:hint="default" w:ascii="Times New Roman" w:hAnsi="Times New Roman" w:eastAsia="仿宋_GB2312" w:cs="Times New Roman"/>
          <w:sz w:val="32"/>
          <w:szCs w:val="32"/>
          <w:highlight w:val="none"/>
        </w:rPr>
        <w:t>文件的组成部分。比选</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rPr>
        <w:t>人收到修改文件后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应立即以书面形式通知比选人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确认已经收到。</w:t>
      </w:r>
    </w:p>
    <w:p w14:paraId="5F170F8B">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431" w:name="_Toc9970"/>
      <w:bookmarkStart w:id="432" w:name="_Toc23106"/>
      <w:bookmarkStart w:id="433" w:name="_Toc24573"/>
      <w:bookmarkStart w:id="434" w:name="_Toc25787"/>
      <w:bookmarkStart w:id="435" w:name="_Toc26892"/>
      <w:bookmarkStart w:id="436" w:name="_Toc30587"/>
      <w:bookmarkStart w:id="437" w:name="_Toc31396"/>
      <w:bookmarkStart w:id="438" w:name="_Toc27225"/>
      <w:bookmarkStart w:id="439" w:name="_Toc23830"/>
      <w:bookmarkStart w:id="440" w:name="_Toc16988"/>
      <w:bookmarkStart w:id="441" w:name="_Toc25041"/>
      <w:bookmarkStart w:id="442" w:name="_Toc3619"/>
      <w:bookmarkStart w:id="443" w:name="_Toc12963"/>
      <w:bookmarkStart w:id="444" w:name="_Toc30023"/>
      <w:bookmarkStart w:id="445" w:name="_Toc19583"/>
      <w:bookmarkStart w:id="446" w:name="_Toc1211"/>
      <w:bookmarkStart w:id="447" w:name="_Toc15734"/>
      <w:bookmarkStart w:id="448" w:name="_Toc31596"/>
      <w:bookmarkStart w:id="449" w:name="_Toc22852"/>
      <w:bookmarkStart w:id="450" w:name="_Toc2790"/>
      <w:bookmarkStart w:id="451" w:name="_Toc9303"/>
      <w:bookmarkStart w:id="452" w:name="_Toc12374"/>
      <w:r>
        <w:rPr>
          <w:rFonts w:hint="default" w:ascii="Times New Roman" w:hAnsi="Times New Roman" w:eastAsia="黑体" w:cs="Times New Roman"/>
          <w:b w:val="0"/>
          <w:bCs w:val="0"/>
          <w:color w:val="000000"/>
          <w:sz w:val="32"/>
          <w:szCs w:val="32"/>
          <w:lang w:val="en-US" w:eastAsia="zh-CN" w:bidi="ar-SA"/>
        </w:rPr>
        <w:t>七、</w:t>
      </w:r>
      <w:r>
        <w:rPr>
          <w:rFonts w:hint="default" w:ascii="Times New Roman" w:hAnsi="Times New Roman" w:eastAsia="黑体" w:cs="Times New Roman"/>
          <w:b w:val="0"/>
          <w:bCs w:val="0"/>
          <w:color w:val="000000"/>
          <w:sz w:val="32"/>
          <w:szCs w:val="32"/>
        </w:rPr>
        <w:t>比选</w:t>
      </w:r>
      <w:r>
        <w:rPr>
          <w:rFonts w:hint="default" w:ascii="Times New Roman" w:hAnsi="Times New Roman" w:eastAsia="黑体" w:cs="Times New Roman"/>
          <w:b w:val="0"/>
          <w:bCs w:val="0"/>
          <w:color w:val="000000"/>
          <w:sz w:val="32"/>
          <w:szCs w:val="32"/>
          <w:lang w:val="en-US" w:eastAsia="zh-CN"/>
        </w:rPr>
        <w:t>申请</w:t>
      </w:r>
      <w:r>
        <w:rPr>
          <w:rFonts w:hint="default" w:ascii="Times New Roman" w:hAnsi="Times New Roman" w:eastAsia="黑体" w:cs="Times New Roman"/>
          <w:b w:val="0"/>
          <w:bCs w:val="0"/>
          <w:color w:val="000000"/>
          <w:sz w:val="32"/>
          <w:szCs w:val="32"/>
        </w:rPr>
        <w:t>人的认可</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BE50FCE">
      <w:pPr>
        <w:keepNext w:val="0"/>
        <w:keepLines w:val="0"/>
        <w:pageBreakBefore w:val="0"/>
        <w:widowControl w:val="0"/>
        <w:kinsoku/>
        <w:wordWrap/>
        <w:overflowPunct/>
        <w:topLinePunct w:val="0"/>
        <w:autoSpaceDE/>
        <w:autoSpaceDN/>
        <w:bidi w:val="0"/>
        <w:adjustRightInd/>
        <w:spacing w:beforeLines="0" w:afterLines="0" w:line="57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Cs/>
          <w:sz w:val="32"/>
          <w:szCs w:val="32"/>
          <w:highlight w:val="none"/>
        </w:rPr>
        <w:t>比选</w:t>
      </w:r>
      <w:r>
        <w:rPr>
          <w:rFonts w:hint="default" w:ascii="Times New Roman" w:hAnsi="Times New Roman" w:eastAsia="仿宋_GB2312" w:cs="Times New Roman"/>
          <w:bCs/>
          <w:sz w:val="32"/>
          <w:szCs w:val="32"/>
          <w:highlight w:val="none"/>
          <w:lang w:val="en-US" w:eastAsia="zh-CN"/>
        </w:rPr>
        <w:t>申请</w:t>
      </w:r>
      <w:r>
        <w:rPr>
          <w:rFonts w:hint="default" w:ascii="Times New Roman" w:hAnsi="Times New Roman" w:eastAsia="仿宋_GB2312" w:cs="Times New Roman"/>
          <w:bCs/>
          <w:sz w:val="32"/>
          <w:szCs w:val="32"/>
          <w:highlight w:val="none"/>
        </w:rPr>
        <w:t>人应充分理解</w:t>
      </w:r>
      <w:r>
        <w:rPr>
          <w:rFonts w:hint="default" w:ascii="Times New Roman" w:hAnsi="Times New Roman" w:eastAsia="仿宋_GB2312" w:cs="Times New Roman"/>
          <w:bCs/>
          <w:sz w:val="32"/>
          <w:szCs w:val="32"/>
          <w:highlight w:val="none"/>
          <w:lang w:val="en-US"/>
        </w:rPr>
        <w:t>比选</w:t>
      </w:r>
      <w:r>
        <w:rPr>
          <w:rFonts w:hint="default" w:ascii="Times New Roman" w:hAnsi="Times New Roman" w:eastAsia="仿宋_GB2312" w:cs="Times New Roman"/>
          <w:bCs/>
          <w:sz w:val="32"/>
          <w:szCs w:val="32"/>
          <w:highlight w:val="none"/>
        </w:rPr>
        <w:t>文件的全部内容，比选</w:t>
      </w:r>
      <w:r>
        <w:rPr>
          <w:rFonts w:hint="default" w:ascii="Times New Roman" w:hAnsi="Times New Roman" w:eastAsia="仿宋_GB2312" w:cs="Times New Roman"/>
          <w:bCs/>
          <w:sz w:val="32"/>
          <w:szCs w:val="32"/>
          <w:highlight w:val="none"/>
          <w:lang w:val="en-US" w:eastAsia="zh-CN"/>
        </w:rPr>
        <w:t>申请</w:t>
      </w:r>
      <w:r>
        <w:rPr>
          <w:rFonts w:hint="default" w:ascii="Times New Roman" w:hAnsi="Times New Roman" w:eastAsia="仿宋_GB2312" w:cs="Times New Roman"/>
          <w:bCs/>
          <w:sz w:val="32"/>
          <w:szCs w:val="32"/>
          <w:highlight w:val="none"/>
        </w:rPr>
        <w:t>文件一经提交比选人，即表明比选</w:t>
      </w:r>
      <w:r>
        <w:rPr>
          <w:rFonts w:hint="default" w:ascii="Times New Roman" w:hAnsi="Times New Roman" w:eastAsia="仿宋_GB2312" w:cs="Times New Roman"/>
          <w:bCs/>
          <w:sz w:val="32"/>
          <w:szCs w:val="32"/>
          <w:highlight w:val="none"/>
          <w:lang w:val="en-US" w:eastAsia="zh-CN"/>
        </w:rPr>
        <w:t>申请</w:t>
      </w:r>
      <w:r>
        <w:rPr>
          <w:rFonts w:hint="default" w:ascii="Times New Roman" w:hAnsi="Times New Roman" w:eastAsia="仿宋_GB2312" w:cs="Times New Roman"/>
          <w:bCs/>
          <w:sz w:val="32"/>
          <w:szCs w:val="32"/>
          <w:highlight w:val="none"/>
        </w:rPr>
        <w:t>人已经仔细阅读、调查和了解与项目有关的一切情况，并已理解</w:t>
      </w:r>
      <w:r>
        <w:rPr>
          <w:rFonts w:hint="default" w:ascii="Times New Roman" w:hAnsi="Times New Roman" w:eastAsia="仿宋_GB2312" w:cs="Times New Roman"/>
          <w:bCs/>
          <w:sz w:val="32"/>
          <w:szCs w:val="32"/>
          <w:highlight w:val="none"/>
          <w:lang w:val="en-US"/>
        </w:rPr>
        <w:t>比选</w:t>
      </w:r>
      <w:r>
        <w:rPr>
          <w:rFonts w:hint="default" w:ascii="Times New Roman" w:hAnsi="Times New Roman" w:eastAsia="仿宋_GB2312" w:cs="Times New Roman"/>
          <w:bCs/>
          <w:sz w:val="32"/>
          <w:szCs w:val="32"/>
          <w:highlight w:val="none"/>
        </w:rPr>
        <w:t>文件的全部内容。比选</w:t>
      </w:r>
      <w:r>
        <w:rPr>
          <w:rFonts w:hint="default" w:ascii="Times New Roman" w:hAnsi="Times New Roman" w:eastAsia="仿宋_GB2312" w:cs="Times New Roman"/>
          <w:bCs/>
          <w:sz w:val="32"/>
          <w:szCs w:val="32"/>
          <w:highlight w:val="none"/>
          <w:lang w:val="en-US" w:eastAsia="zh-CN"/>
        </w:rPr>
        <w:t>申请</w:t>
      </w:r>
      <w:r>
        <w:rPr>
          <w:rFonts w:hint="default" w:ascii="Times New Roman" w:hAnsi="Times New Roman" w:eastAsia="仿宋_GB2312" w:cs="Times New Roman"/>
          <w:bCs/>
          <w:sz w:val="32"/>
          <w:szCs w:val="32"/>
          <w:highlight w:val="none"/>
        </w:rPr>
        <w:t>文件具有法律效力。</w:t>
      </w:r>
    </w:p>
    <w:p w14:paraId="2AB727C8">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453" w:name="_Toc16030"/>
      <w:bookmarkStart w:id="454" w:name="_Toc5456"/>
      <w:bookmarkStart w:id="455" w:name="_Toc14652"/>
      <w:bookmarkStart w:id="456" w:name="_Toc32489"/>
      <w:bookmarkStart w:id="457" w:name="_Toc5238"/>
      <w:bookmarkStart w:id="458" w:name="_Toc9545"/>
      <w:bookmarkStart w:id="459" w:name="_Toc11719"/>
      <w:bookmarkStart w:id="460" w:name="_Toc22380"/>
      <w:bookmarkStart w:id="461" w:name="_Toc7581"/>
      <w:bookmarkStart w:id="462" w:name="_Toc8099"/>
      <w:bookmarkStart w:id="463" w:name="_Toc10977"/>
      <w:bookmarkStart w:id="464" w:name="_Toc6570"/>
      <w:bookmarkStart w:id="465" w:name="_Toc6748"/>
      <w:bookmarkStart w:id="466" w:name="_Toc11367"/>
      <w:bookmarkStart w:id="467" w:name="_Toc4002"/>
      <w:bookmarkStart w:id="468" w:name="_Toc29206"/>
      <w:bookmarkStart w:id="469" w:name="_Toc30294"/>
      <w:bookmarkStart w:id="470" w:name="_Toc7895"/>
      <w:bookmarkStart w:id="471" w:name="_Toc30185"/>
      <w:bookmarkStart w:id="472" w:name="_Toc10172"/>
      <w:bookmarkStart w:id="473" w:name="_Toc20268"/>
      <w:bookmarkStart w:id="474" w:name="_Toc3328"/>
      <w:bookmarkStart w:id="475" w:name="_Toc8973"/>
      <w:bookmarkStart w:id="476" w:name="_Toc12858"/>
      <w:bookmarkStart w:id="477" w:name="_Toc29732"/>
      <w:r>
        <w:rPr>
          <w:rFonts w:hint="default" w:ascii="Times New Roman" w:hAnsi="Times New Roman" w:eastAsia="黑体" w:cs="Times New Roman"/>
          <w:b w:val="0"/>
          <w:bCs w:val="0"/>
          <w:color w:val="000000"/>
          <w:sz w:val="32"/>
          <w:szCs w:val="32"/>
          <w:lang w:val="en-US" w:eastAsia="zh-CN" w:bidi="ar-SA"/>
        </w:rPr>
        <w:t>八、</w:t>
      </w:r>
      <w:r>
        <w:rPr>
          <w:rFonts w:hint="default" w:ascii="Times New Roman" w:hAnsi="Times New Roman" w:eastAsia="黑体" w:cs="Times New Roman"/>
          <w:b w:val="0"/>
          <w:bCs w:val="0"/>
          <w:color w:val="000000"/>
          <w:sz w:val="32"/>
          <w:szCs w:val="32"/>
          <w:lang w:eastAsia="zh-CN"/>
        </w:rPr>
        <w:t>比选申请文件</w:t>
      </w:r>
      <w:r>
        <w:rPr>
          <w:rFonts w:hint="default" w:ascii="Times New Roman" w:hAnsi="Times New Roman" w:eastAsia="黑体" w:cs="Times New Roman"/>
          <w:b w:val="0"/>
          <w:bCs w:val="0"/>
          <w:color w:val="000000"/>
          <w:sz w:val="32"/>
          <w:szCs w:val="32"/>
        </w:rPr>
        <w:t>编制及提交要求</w:t>
      </w:r>
      <w:bookmarkEnd w:id="386"/>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452C0B6">
      <w:pPr>
        <w:spacing w:beforeLines="0" w:afterLines="0" w:line="570" w:lineRule="exact"/>
        <w:ind w:firstLine="640"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比选申请文件</w:t>
      </w:r>
      <w:r>
        <w:rPr>
          <w:rFonts w:hint="default" w:ascii="Times New Roman" w:hAnsi="Times New Roman" w:eastAsia="楷体_GB2312" w:cs="Times New Roman"/>
          <w:b w:val="0"/>
          <w:bCs/>
          <w:sz w:val="32"/>
          <w:szCs w:val="32"/>
        </w:rPr>
        <w:t>编制说明</w:t>
      </w:r>
    </w:p>
    <w:p w14:paraId="4D43D79B">
      <w:pPr>
        <w:spacing w:beforeLines="0" w:afterLines="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选文件须使用简体中文。参选文件中如附有外文资料，主要部分对应翻译成中文并加盖比选响应人公章后附在相关外文资料后面。用非中文版的相关资料，比选响应人应提供中文译本，并以中文译本为准。但不能故意错误翻译，否则，参选文件将作为无效处理；</w:t>
      </w:r>
    </w:p>
    <w:p w14:paraId="1D542E55">
      <w:pPr>
        <w:spacing w:beforeLines="0" w:afterLines="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2.参选文件应按“第四章</w:t>
      </w:r>
      <w:r>
        <w:rPr>
          <w:rFonts w:hint="default" w:ascii="Times New Roman" w:hAnsi="Times New Roman" w:eastAsia="仿宋_GB2312" w:cs="Times New Roman"/>
          <w:sz w:val="32"/>
          <w:szCs w:val="32"/>
          <w:lang w:val="en-US" w:eastAsia="zh-CN"/>
        </w:rPr>
        <w:t xml:space="preserve"> 比选申请文件格式</w:t>
      </w:r>
      <w:r>
        <w:rPr>
          <w:rFonts w:hint="default" w:ascii="Times New Roman" w:hAnsi="Times New Roman" w:eastAsia="仿宋_GB2312" w:cs="Times New Roman"/>
          <w:sz w:val="32"/>
          <w:szCs w:val="32"/>
        </w:rPr>
        <w:t>”进行编写。对于没有格式要求的，由比选</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人自行编写，要求编排清楚，易于阅读和评选。如有必要，可以增加附页，作为参选文件的组成部分；</w:t>
      </w:r>
    </w:p>
    <w:p w14:paraId="784BE31E">
      <w:pPr>
        <w:spacing w:beforeLines="0" w:afterLines="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3.参选文件封面上需注明比选</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人名称（盖章）、项目名称，并由比选</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人的法定代表人或其委托代理人签字或加盖公章；</w:t>
      </w:r>
    </w:p>
    <w:p w14:paraId="048EA082">
      <w:pPr>
        <w:spacing w:beforeLines="0" w:afterLines="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4.比选</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人需自行承担所有编写和提交参选文件等的费用。</w:t>
      </w:r>
    </w:p>
    <w:p w14:paraId="595010A4">
      <w:pPr>
        <w:spacing w:beforeLines="0" w:afterLines="0" w:line="570" w:lineRule="exact"/>
        <w:ind w:firstLine="640" w:firstLineChars="200"/>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rPr>
        <w:t>）比选</w:t>
      </w:r>
      <w:r>
        <w:rPr>
          <w:rFonts w:hint="default" w:ascii="Times New Roman" w:hAnsi="Times New Roman" w:eastAsia="楷体_GB2312" w:cs="Times New Roman"/>
          <w:b w:val="0"/>
          <w:bCs/>
          <w:sz w:val="32"/>
          <w:szCs w:val="32"/>
          <w:lang w:val="en-US" w:eastAsia="zh-CN"/>
        </w:rPr>
        <w:t>申请</w:t>
      </w:r>
      <w:r>
        <w:rPr>
          <w:rFonts w:hint="default" w:ascii="Times New Roman" w:hAnsi="Times New Roman" w:eastAsia="楷体_GB2312" w:cs="Times New Roman"/>
          <w:b w:val="0"/>
          <w:bCs/>
          <w:sz w:val="32"/>
          <w:szCs w:val="32"/>
        </w:rPr>
        <w:t>文件提交</w:t>
      </w:r>
    </w:p>
    <w:p w14:paraId="555D7F8E">
      <w:pPr>
        <w:tabs>
          <w:tab w:val="left" w:pos="540"/>
        </w:tabs>
        <w:autoSpaceDE/>
        <w:autoSpaceDN/>
        <w:adjustRightInd/>
        <w:spacing w:beforeLines="0" w:afterLines="0" w:line="570" w:lineRule="exact"/>
        <w:ind w:firstLine="640" w:firstLineChars="200"/>
        <w:rPr>
          <w:rFonts w:hint="default" w:ascii="Times New Roman" w:hAnsi="Times New Roman" w:eastAsia="仿宋_GB2312" w:cs="Times New Roman"/>
          <w:bCs w:val="0"/>
          <w:sz w:val="32"/>
          <w:szCs w:val="32"/>
          <w:highlight w:val="none"/>
        </w:rPr>
      </w:pPr>
      <w:bookmarkStart w:id="478" w:name="_Toc24039"/>
      <w:bookmarkStart w:id="479" w:name="_Toc12699"/>
      <w:bookmarkStart w:id="480" w:name="_Toc503280714"/>
      <w:bookmarkStart w:id="481" w:name="_Toc9135"/>
      <w:bookmarkStart w:id="482" w:name="_Toc15185"/>
      <w:bookmarkStart w:id="483" w:name="_Toc12081"/>
      <w:r>
        <w:rPr>
          <w:rFonts w:hint="default" w:ascii="Times New Roman" w:hAnsi="Times New Roman" w:eastAsia="仿宋_GB2312" w:cs="Times New Roman"/>
          <w:sz w:val="32"/>
          <w:szCs w:val="32"/>
          <w:highlight w:val="none"/>
          <w:lang w:val="en-US" w:eastAsia="zh-CN"/>
        </w:rPr>
        <w:t>比选申请人须于</w:t>
      </w:r>
      <w:r>
        <w:rPr>
          <w:rFonts w:hint="default" w:ascii="Times New Roman" w:hAnsi="Times New Roman" w:eastAsia="仿宋_GB2312" w:cs="Times New Roman"/>
          <w:sz w:val="32"/>
          <w:szCs w:val="32"/>
          <w:highlight w:val="none"/>
          <w:lang w:val="en-US"/>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rPr>
        <w:t>月</w:t>
      </w:r>
      <w:r>
        <w:rPr>
          <w:rFonts w:hint="eastAsia"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lang w:val="en-US"/>
        </w:rPr>
        <w:t>日</w:t>
      </w:r>
      <w:r>
        <w:rPr>
          <w:rFonts w:hint="default" w:ascii="Times New Roman" w:hAnsi="Times New Roman" w:eastAsia="仿宋_GB2312" w:cs="Times New Roman"/>
          <w:sz w:val="32"/>
          <w:szCs w:val="32"/>
          <w:highlight w:val="none"/>
          <w:lang w:val="en-US" w:eastAsia="zh-CN"/>
        </w:rPr>
        <w:t>上午10</w:t>
      </w:r>
      <w:r>
        <w:rPr>
          <w:rFonts w:hint="default" w:ascii="Times New Roman" w:hAnsi="Times New Roman" w:eastAsia="仿宋_GB2312" w:cs="Times New Roman"/>
          <w:sz w:val="32"/>
          <w:szCs w:val="32"/>
          <w:highlight w:val="none"/>
          <w:lang w:val="en-US"/>
        </w:rPr>
        <w:t>:</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rPr>
        <w:t>0（北京时间）之前将</w:t>
      </w:r>
      <w:r>
        <w:rPr>
          <w:rFonts w:hint="default" w:ascii="Times New Roman" w:hAnsi="Times New Roman" w:eastAsia="仿宋_GB2312" w:cs="Times New Roman"/>
          <w:sz w:val="32"/>
          <w:szCs w:val="32"/>
          <w:highlight w:val="none"/>
          <w:lang w:val="en-US" w:eastAsia="zh-CN"/>
        </w:rPr>
        <w:t>密封的比选申请</w:t>
      </w:r>
      <w:r>
        <w:rPr>
          <w:rFonts w:hint="default" w:ascii="Times New Roman" w:hAnsi="Times New Roman" w:eastAsia="仿宋_GB2312" w:cs="Times New Roman"/>
          <w:sz w:val="32"/>
          <w:szCs w:val="32"/>
          <w:highlight w:val="none"/>
          <w:lang w:val="en-US"/>
        </w:rPr>
        <w:t>文件送达至</w:t>
      </w:r>
      <w:r>
        <w:rPr>
          <w:rFonts w:hint="default" w:ascii="Times New Roman" w:hAnsi="Times New Roman" w:eastAsia="仿宋_GB2312" w:cs="Times New Roman"/>
          <w:sz w:val="32"/>
          <w:szCs w:val="32"/>
          <w:highlight w:val="none"/>
          <w:lang w:val="en-US" w:eastAsia="zh-CN"/>
        </w:rPr>
        <w:t>成都市高新区两江国际A座23楼2339会议室，</w:t>
      </w:r>
      <w:r>
        <w:rPr>
          <w:rFonts w:hint="default" w:ascii="Times New Roman" w:hAnsi="Times New Roman" w:eastAsia="仿宋_GB2312" w:cs="Times New Roman"/>
          <w:sz w:val="32"/>
          <w:szCs w:val="32"/>
          <w:highlight w:val="none"/>
          <w:lang w:val="en-US"/>
        </w:rPr>
        <w:t>逾期送达的、未送达指定地点的或者不按</w:t>
      </w:r>
      <w:r>
        <w:rPr>
          <w:rFonts w:hint="default" w:ascii="Times New Roman" w:hAnsi="Times New Roman" w:eastAsia="仿宋_GB2312" w:cs="Times New Roman"/>
          <w:sz w:val="32"/>
          <w:szCs w:val="32"/>
          <w:highlight w:val="none"/>
          <w:lang w:val="en-US" w:eastAsia="zh-CN"/>
        </w:rPr>
        <w:t>比选文件</w:t>
      </w:r>
      <w:r>
        <w:rPr>
          <w:rFonts w:hint="default" w:ascii="Times New Roman" w:hAnsi="Times New Roman" w:eastAsia="仿宋_GB2312" w:cs="Times New Roman"/>
          <w:sz w:val="32"/>
          <w:szCs w:val="32"/>
          <w:highlight w:val="none"/>
          <w:lang w:val="en-US"/>
        </w:rPr>
        <w:t>要求密封的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en-US"/>
        </w:rPr>
        <w:t>文件，</w:t>
      </w:r>
      <w:r>
        <w:rPr>
          <w:rFonts w:hint="default" w:ascii="Times New Roman" w:hAnsi="Times New Roman" w:eastAsia="仿宋_GB2312" w:cs="Times New Roman"/>
          <w:sz w:val="32"/>
          <w:szCs w:val="32"/>
          <w:highlight w:val="none"/>
          <w:lang w:val="en-US" w:eastAsia="zh-CN"/>
        </w:rPr>
        <w:t>比选人</w:t>
      </w:r>
      <w:r>
        <w:rPr>
          <w:rFonts w:hint="default" w:ascii="Times New Roman" w:hAnsi="Times New Roman" w:eastAsia="仿宋_GB2312" w:cs="Times New Roman"/>
          <w:sz w:val="32"/>
          <w:szCs w:val="32"/>
          <w:highlight w:val="none"/>
          <w:lang w:val="en-US"/>
        </w:rPr>
        <w:t>将予以拒收。</w:t>
      </w:r>
    </w:p>
    <w:bookmarkEnd w:id="478"/>
    <w:bookmarkEnd w:id="479"/>
    <w:bookmarkEnd w:id="480"/>
    <w:bookmarkEnd w:id="481"/>
    <w:bookmarkEnd w:id="482"/>
    <w:bookmarkEnd w:id="483"/>
    <w:p w14:paraId="4B82D028">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484" w:name="_Toc503280715"/>
      <w:bookmarkStart w:id="485" w:name="_Toc29483"/>
      <w:bookmarkStart w:id="486" w:name="_Toc3269"/>
      <w:bookmarkStart w:id="487" w:name="_Toc6084"/>
      <w:bookmarkStart w:id="488" w:name="_Toc16439"/>
      <w:bookmarkStart w:id="489" w:name="_Toc17654"/>
      <w:bookmarkStart w:id="490" w:name="_Toc11486"/>
      <w:bookmarkStart w:id="491" w:name="_Toc19775"/>
      <w:bookmarkStart w:id="492" w:name="_Toc8759"/>
      <w:bookmarkStart w:id="493" w:name="_Toc28003"/>
      <w:bookmarkStart w:id="494" w:name="_Toc22880"/>
      <w:bookmarkStart w:id="495" w:name="_Toc5657"/>
      <w:bookmarkStart w:id="496" w:name="_Toc19259"/>
      <w:bookmarkStart w:id="497" w:name="_Toc8243"/>
      <w:bookmarkStart w:id="498" w:name="_Toc16009"/>
      <w:bookmarkStart w:id="499" w:name="_Toc2683"/>
      <w:bookmarkStart w:id="500" w:name="_Toc20295"/>
      <w:bookmarkStart w:id="501" w:name="_Toc31275"/>
      <w:bookmarkStart w:id="502" w:name="_Toc1283"/>
      <w:bookmarkStart w:id="503" w:name="_Toc9534"/>
      <w:bookmarkStart w:id="504" w:name="_Toc5616"/>
      <w:bookmarkStart w:id="505" w:name="_Toc745"/>
      <w:bookmarkStart w:id="506" w:name="_Toc17830"/>
      <w:bookmarkStart w:id="507" w:name="_Toc23396"/>
      <w:bookmarkStart w:id="508" w:name="_Toc11965"/>
      <w:bookmarkStart w:id="509" w:name="_Toc27451"/>
      <w:r>
        <w:rPr>
          <w:rFonts w:hint="default" w:ascii="Times New Roman" w:hAnsi="Times New Roman" w:eastAsia="黑体" w:cs="Times New Roman"/>
          <w:b w:val="0"/>
          <w:bCs w:val="0"/>
          <w:color w:val="000000"/>
          <w:sz w:val="32"/>
          <w:szCs w:val="32"/>
          <w:lang w:val="en-US" w:eastAsia="zh-CN" w:bidi="ar-SA"/>
        </w:rPr>
        <w:t>九、</w:t>
      </w:r>
      <w:r>
        <w:rPr>
          <w:rFonts w:hint="default" w:ascii="Times New Roman" w:hAnsi="Times New Roman" w:eastAsia="黑体" w:cs="Times New Roman"/>
          <w:b w:val="0"/>
          <w:bCs w:val="0"/>
          <w:color w:val="000000"/>
          <w:sz w:val="32"/>
          <w:szCs w:val="32"/>
        </w:rPr>
        <w:t>比选费用</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75CD1DB">
      <w:pPr>
        <w:snapToGrid w:val="0"/>
        <w:spacing w:beforeLines="0" w:afterLines="0"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比选申请人应承担其编制比选申请书与递交比选申请书所涉及的一切费用。不管比选结果如何，比选人对上述费用不负任何责任，均由比选申请人自行承担。</w:t>
      </w:r>
    </w:p>
    <w:p w14:paraId="2F362BD5">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lang w:val="en-US" w:eastAsia="zh-CN"/>
        </w:rPr>
      </w:pPr>
      <w:bookmarkStart w:id="510" w:name="_Toc27202"/>
      <w:bookmarkStart w:id="511" w:name="_Toc1148"/>
      <w:bookmarkStart w:id="512" w:name="_Toc21273"/>
      <w:bookmarkStart w:id="513" w:name="_Toc13898"/>
      <w:bookmarkStart w:id="514" w:name="_Toc19247"/>
      <w:bookmarkStart w:id="515" w:name="_Toc7314"/>
      <w:bookmarkStart w:id="516" w:name="_Toc23623"/>
      <w:bookmarkStart w:id="517" w:name="_Toc3380"/>
      <w:bookmarkStart w:id="518" w:name="_Toc26003"/>
      <w:bookmarkStart w:id="519" w:name="_Toc13158"/>
      <w:bookmarkStart w:id="520" w:name="_Toc20047"/>
      <w:bookmarkStart w:id="521" w:name="_Toc9125"/>
      <w:bookmarkStart w:id="522" w:name="_Toc9985"/>
      <w:bookmarkStart w:id="523" w:name="_Toc29075"/>
      <w:bookmarkStart w:id="524" w:name="_Toc17328"/>
      <w:bookmarkStart w:id="525" w:name="_Toc13942"/>
      <w:bookmarkStart w:id="526" w:name="_Toc1988"/>
      <w:bookmarkStart w:id="527" w:name="_Toc10729"/>
      <w:bookmarkStart w:id="528" w:name="_Toc19022"/>
      <w:bookmarkStart w:id="529" w:name="_Toc12282"/>
      <w:bookmarkStart w:id="530" w:name="_Toc30562"/>
      <w:bookmarkStart w:id="531" w:name="_Toc15928"/>
      <w:r>
        <w:rPr>
          <w:rFonts w:hint="default" w:ascii="Times New Roman" w:hAnsi="Times New Roman" w:eastAsia="黑体" w:cs="Times New Roman"/>
          <w:b w:val="0"/>
          <w:bCs w:val="0"/>
          <w:color w:val="000000"/>
          <w:sz w:val="32"/>
          <w:szCs w:val="32"/>
          <w:lang w:val="en-US" w:eastAsia="zh-CN" w:bidi="ar-SA"/>
        </w:rPr>
        <w:t>十、</w:t>
      </w:r>
      <w:r>
        <w:rPr>
          <w:rFonts w:hint="default" w:ascii="Times New Roman" w:hAnsi="Times New Roman" w:cs="Times New Roman"/>
          <w:b w:val="0"/>
          <w:bCs w:val="0"/>
          <w:color w:val="000000"/>
          <w:sz w:val="32"/>
          <w:szCs w:val="32"/>
          <w:lang w:val="en-US" w:eastAsia="zh-CN"/>
        </w:rPr>
        <w:t>比选申请文件的开启</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DE9A527">
      <w:pPr>
        <w:snapToGrid w:val="0"/>
        <w:spacing w:beforeLines="0" w:afterLines="0" w:line="57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递交比选申请文件截止时间准时开标，比选人邀请比选申请人参加开标。比选申请文件递交截止时间后，如果比选申请人未达到三家的比选要求，将不开启比选申请文件并将再次发布比选公告。</w:t>
      </w:r>
      <w:bookmarkEnd w:id="528"/>
      <w:bookmarkEnd w:id="529"/>
      <w:bookmarkEnd w:id="530"/>
      <w:bookmarkEnd w:id="531"/>
    </w:p>
    <w:p w14:paraId="38D4C2BC">
      <w:pPr>
        <w:pStyle w:val="3"/>
        <w:numPr>
          <w:ilvl w:val="0"/>
          <w:numId w:val="0"/>
        </w:numPr>
        <w:tabs>
          <w:tab w:val="left" w:pos="0"/>
        </w:tabs>
        <w:autoSpaceDE/>
        <w:autoSpaceDN/>
        <w:spacing w:beforeLines="0" w:afterLines="0" w:line="570" w:lineRule="exact"/>
        <w:ind w:left="0" w:firstLine="482" w:firstLineChars="0"/>
        <w:jc w:val="both"/>
        <w:rPr>
          <w:rFonts w:hint="default" w:ascii="Times New Roman" w:hAnsi="Times New Roman" w:cs="Times New Roman"/>
          <w:b w:val="0"/>
          <w:bCs w:val="0"/>
          <w:color w:val="000000"/>
          <w:sz w:val="32"/>
          <w:szCs w:val="32"/>
        </w:rPr>
      </w:pPr>
      <w:bookmarkStart w:id="532" w:name="_Toc2434"/>
      <w:bookmarkStart w:id="533" w:name="_Toc29594"/>
      <w:bookmarkStart w:id="534" w:name="_Toc10727"/>
      <w:bookmarkStart w:id="535" w:name="_Toc13213"/>
      <w:bookmarkStart w:id="536" w:name="_Toc23586"/>
      <w:bookmarkStart w:id="537" w:name="_Toc4381"/>
      <w:bookmarkStart w:id="538" w:name="_Toc20778"/>
      <w:bookmarkStart w:id="539" w:name="_Toc8784"/>
      <w:bookmarkStart w:id="540" w:name="_Toc20219"/>
      <w:bookmarkStart w:id="541" w:name="_Toc29092"/>
      <w:bookmarkStart w:id="542" w:name="_Toc4667"/>
      <w:bookmarkStart w:id="543" w:name="_Toc1214"/>
      <w:bookmarkStart w:id="544" w:name="_Toc11902"/>
      <w:bookmarkStart w:id="545" w:name="_Toc29942"/>
      <w:r>
        <w:rPr>
          <w:rFonts w:hint="default" w:ascii="Times New Roman" w:hAnsi="Times New Roman" w:eastAsia="黑体" w:cs="Times New Roman"/>
          <w:b w:val="0"/>
          <w:bCs w:val="0"/>
          <w:color w:val="000000"/>
          <w:sz w:val="32"/>
          <w:szCs w:val="32"/>
          <w:lang w:val="en-US" w:eastAsia="zh-CN" w:bidi="ar-SA"/>
        </w:rPr>
        <w:t>十一、</w:t>
      </w:r>
      <w:r>
        <w:rPr>
          <w:rFonts w:hint="default" w:ascii="Times New Roman" w:hAnsi="Times New Roman" w:cs="Times New Roman"/>
          <w:b w:val="0"/>
          <w:bCs w:val="0"/>
          <w:color w:val="000000"/>
          <w:sz w:val="32"/>
          <w:szCs w:val="32"/>
        </w:rPr>
        <w:t>评审及谈判</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5832389">
      <w:pPr>
        <w:snapToGrid w:val="0"/>
        <w:spacing w:beforeLines="0" w:afterLines="0" w:line="57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比选人</w:t>
      </w:r>
      <w:r>
        <w:rPr>
          <w:rFonts w:hint="default" w:ascii="Times New Roman" w:hAnsi="Times New Roman" w:eastAsia="仿宋_GB2312" w:cs="Times New Roman"/>
          <w:sz w:val="32"/>
          <w:szCs w:val="32"/>
        </w:rPr>
        <w:t>对比选申请人提</w:t>
      </w:r>
      <w:r>
        <w:rPr>
          <w:rFonts w:hint="default" w:ascii="Times New Roman" w:hAnsi="Times New Roman" w:eastAsia="仿宋_GB2312" w:cs="Times New Roman"/>
          <w:sz w:val="32"/>
          <w:szCs w:val="32"/>
          <w:lang w:val="en-US" w:eastAsia="zh-CN"/>
        </w:rPr>
        <w:t>交</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文件进行初步评审、谈判及详细综合评审。</w:t>
      </w:r>
    </w:p>
    <w:p w14:paraId="345D065D">
      <w:pPr>
        <w:pStyle w:val="3"/>
        <w:numPr>
          <w:ilvl w:val="0"/>
          <w:numId w:val="0"/>
        </w:numPr>
        <w:tabs>
          <w:tab w:val="left" w:pos="0"/>
        </w:tabs>
        <w:autoSpaceDE/>
        <w:autoSpaceDN/>
        <w:spacing w:beforeLines="0" w:afterLines="0" w:line="570" w:lineRule="exact"/>
        <w:ind w:left="0" w:firstLine="482" w:firstLineChars="0"/>
        <w:jc w:val="both"/>
        <w:rPr>
          <w:rFonts w:hint="default" w:ascii="Times New Roman" w:hAnsi="Times New Roman" w:eastAsia="黑体" w:cs="Times New Roman"/>
          <w:b w:val="0"/>
          <w:bCs w:val="0"/>
          <w:color w:val="000000"/>
          <w:sz w:val="32"/>
          <w:szCs w:val="32"/>
          <w:lang w:val="en-US"/>
        </w:rPr>
      </w:pPr>
      <w:bookmarkStart w:id="546" w:name="_Toc16724"/>
      <w:bookmarkStart w:id="547" w:name="_Toc4996"/>
      <w:bookmarkStart w:id="548" w:name="_Toc8371"/>
      <w:bookmarkStart w:id="549" w:name="_Toc28105"/>
      <w:bookmarkStart w:id="550" w:name="_Toc12170"/>
      <w:bookmarkStart w:id="551" w:name="_Toc18511"/>
      <w:bookmarkStart w:id="552" w:name="_Toc10291"/>
      <w:bookmarkStart w:id="553" w:name="_Toc21367"/>
      <w:bookmarkStart w:id="554" w:name="_Toc12902"/>
      <w:bookmarkStart w:id="555" w:name="_Toc16253"/>
      <w:bookmarkStart w:id="556" w:name="_Toc26611"/>
      <w:bookmarkStart w:id="557" w:name="_Toc56"/>
      <w:bookmarkStart w:id="558" w:name="_Toc30038"/>
      <w:bookmarkStart w:id="559" w:name="_Toc27582"/>
      <w:bookmarkStart w:id="560" w:name="_Toc22213"/>
      <w:bookmarkStart w:id="561" w:name="_Toc10927"/>
      <w:bookmarkStart w:id="562" w:name="_Toc9462"/>
      <w:bookmarkStart w:id="563" w:name="_Toc31914"/>
      <w:r>
        <w:rPr>
          <w:rFonts w:hint="default" w:ascii="Times New Roman" w:hAnsi="Times New Roman" w:eastAsia="黑体" w:cs="Times New Roman"/>
          <w:b w:val="0"/>
          <w:bCs w:val="0"/>
          <w:color w:val="000000"/>
          <w:sz w:val="32"/>
          <w:szCs w:val="32"/>
          <w:lang w:val="en-US" w:eastAsia="zh-CN" w:bidi="ar-SA"/>
        </w:rPr>
        <w:t>十二、</w:t>
      </w:r>
      <w:r>
        <w:rPr>
          <w:rFonts w:hint="default" w:ascii="Times New Roman" w:hAnsi="Times New Roman" w:eastAsia="黑体" w:cs="Times New Roman"/>
          <w:b w:val="0"/>
          <w:bCs w:val="0"/>
          <w:color w:val="000000"/>
          <w:sz w:val="32"/>
          <w:szCs w:val="32"/>
          <w:lang w:val="en-US" w:eastAsia="zh-CN"/>
        </w:rPr>
        <w:t>中选通知</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0B794FE">
      <w:pPr>
        <w:tabs>
          <w:tab w:val="left" w:pos="840"/>
        </w:tabs>
        <w:snapToGrid w:val="0"/>
        <w:spacing w:beforeLines="0" w:afterLines="0" w:line="57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rPr>
        <w:t>比选评审</w:t>
      </w:r>
      <w:r>
        <w:rPr>
          <w:rFonts w:hint="default" w:ascii="Times New Roman" w:hAnsi="Times New Roman" w:eastAsia="仿宋_GB2312" w:cs="Times New Roman"/>
          <w:sz w:val="32"/>
          <w:szCs w:val="32"/>
          <w:highlight w:val="none"/>
        </w:rPr>
        <w:t>结束后，比选人将确定中选人，并向中选人发送中选通知书。</w:t>
      </w:r>
    </w:p>
    <w:p w14:paraId="2422EDB4">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lang w:val="en-US" w:eastAsia="zh-CN"/>
        </w:rPr>
      </w:pPr>
      <w:bookmarkStart w:id="564" w:name="_Toc22568"/>
      <w:bookmarkStart w:id="565" w:name="_Toc13653"/>
      <w:bookmarkStart w:id="566" w:name="_Toc29748"/>
      <w:bookmarkStart w:id="567" w:name="_Toc5633"/>
      <w:bookmarkStart w:id="568" w:name="_Toc13808"/>
      <w:bookmarkStart w:id="569" w:name="_Toc30777"/>
      <w:bookmarkStart w:id="570" w:name="_Toc29252"/>
      <w:bookmarkStart w:id="571" w:name="_Toc13342"/>
      <w:bookmarkStart w:id="572" w:name="_Toc16292"/>
      <w:bookmarkStart w:id="573" w:name="_Toc22504"/>
      <w:bookmarkStart w:id="574" w:name="_Toc25707"/>
      <w:bookmarkStart w:id="575" w:name="_Toc31550"/>
      <w:bookmarkStart w:id="576" w:name="_Toc26681"/>
      <w:bookmarkStart w:id="577" w:name="_Toc11187"/>
      <w:bookmarkStart w:id="578" w:name="_Toc17705"/>
      <w:bookmarkStart w:id="579" w:name="_Toc23800"/>
      <w:bookmarkStart w:id="580" w:name="_Toc25998"/>
      <w:bookmarkStart w:id="581" w:name="_Toc16546"/>
      <w:bookmarkStart w:id="582" w:name="_Toc8955"/>
      <w:bookmarkStart w:id="583" w:name="_Toc2078"/>
      <w:bookmarkStart w:id="584" w:name="_Toc9271"/>
      <w:bookmarkStart w:id="585" w:name="_Toc18359"/>
      <w:r>
        <w:rPr>
          <w:rFonts w:hint="default" w:ascii="Times New Roman" w:hAnsi="Times New Roman" w:eastAsia="黑体" w:cs="Times New Roman"/>
          <w:b w:val="0"/>
          <w:bCs w:val="0"/>
          <w:color w:val="000000"/>
          <w:sz w:val="32"/>
          <w:szCs w:val="32"/>
          <w:lang w:val="en-US" w:eastAsia="zh-CN" w:bidi="ar-SA"/>
        </w:rPr>
        <w:t>十三、</w:t>
      </w:r>
      <w:r>
        <w:rPr>
          <w:rFonts w:hint="default" w:ascii="Times New Roman" w:hAnsi="Times New Roman" w:eastAsia="黑体" w:cs="Times New Roman"/>
          <w:b w:val="0"/>
          <w:bCs w:val="0"/>
          <w:color w:val="000000"/>
          <w:sz w:val="32"/>
          <w:szCs w:val="32"/>
          <w:lang w:val="en-US" w:eastAsia="zh-CN"/>
        </w:rPr>
        <w:t>签订合同</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2040AAB3">
      <w:pPr>
        <w:keepNext w:val="0"/>
        <w:keepLines w:val="0"/>
        <w:pageBreakBefore w:val="0"/>
        <w:widowControl w:val="0"/>
        <w:tabs>
          <w:tab w:val="left" w:pos="840"/>
        </w:tabs>
        <w:kinsoku/>
        <w:wordWrap/>
        <w:overflowPunct/>
        <w:topLinePunct w:val="0"/>
        <w:autoSpaceDE/>
        <w:autoSpaceDN/>
        <w:bidi w:val="0"/>
        <w:adjustRightInd/>
        <w:snapToGrid w:val="0"/>
        <w:spacing w:beforeLines="0" w:afterLines="0" w:line="57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highlight w:val="none"/>
        </w:rPr>
        <w:t>中选人须按中选通知书指定的时间、地点与公司签订合同。中选人无正当理由拒签合同的，比选人取消中选资格；给比选人造成损失的，中选人应予以赔偿。如中选人违约，可在中选候选人中根据综合得分高低顺序依次重新选定中选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并签订合同</w:t>
      </w:r>
      <w:r>
        <w:rPr>
          <w:rFonts w:hint="default" w:ascii="Times New Roman" w:hAnsi="Times New Roman" w:eastAsia="仿宋_GB2312" w:cs="Times New Roman"/>
          <w:sz w:val="32"/>
          <w:szCs w:val="32"/>
          <w:highlight w:val="none"/>
        </w:rPr>
        <w:t>。</w:t>
      </w:r>
    </w:p>
    <w:p w14:paraId="3703BCE1">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586" w:name="_Toc9583"/>
      <w:bookmarkStart w:id="587" w:name="_Toc24160"/>
      <w:bookmarkStart w:id="588" w:name="_Toc17777"/>
      <w:bookmarkStart w:id="589" w:name="_Toc22218"/>
      <w:bookmarkStart w:id="590" w:name="_Toc26581"/>
      <w:bookmarkStart w:id="591" w:name="_Toc1974"/>
      <w:bookmarkStart w:id="592" w:name="_Toc20866"/>
      <w:bookmarkStart w:id="593" w:name="_Toc23379"/>
      <w:bookmarkStart w:id="594" w:name="_Toc395"/>
      <w:bookmarkStart w:id="595" w:name="_Toc503280716"/>
      <w:bookmarkStart w:id="596" w:name="_Toc18174"/>
      <w:bookmarkStart w:id="597" w:name="_Toc21117"/>
      <w:bookmarkStart w:id="598" w:name="_Toc18653"/>
      <w:bookmarkStart w:id="599" w:name="_Toc20378"/>
      <w:bookmarkStart w:id="600" w:name="_Toc8368"/>
      <w:bookmarkStart w:id="601" w:name="_Toc10235"/>
      <w:bookmarkStart w:id="602" w:name="_Toc4797"/>
      <w:bookmarkStart w:id="603" w:name="_Toc18271"/>
      <w:bookmarkStart w:id="604" w:name="_Toc11636"/>
      <w:bookmarkStart w:id="605" w:name="_Toc30381"/>
      <w:bookmarkStart w:id="606" w:name="_Toc24906"/>
      <w:bookmarkStart w:id="607" w:name="_Toc17881"/>
      <w:bookmarkStart w:id="608" w:name="_Toc4404"/>
      <w:bookmarkStart w:id="609" w:name="_Toc7466"/>
      <w:bookmarkStart w:id="610" w:name="_Toc25050"/>
      <w:bookmarkStart w:id="611" w:name="_Toc11859"/>
      <w:bookmarkStart w:id="612" w:name="_Toc110171509"/>
      <w:bookmarkStart w:id="613" w:name="_Toc97447894"/>
      <w:bookmarkStart w:id="614" w:name="_Toc109182924"/>
      <w:bookmarkStart w:id="615" w:name="_Toc90040465"/>
      <w:bookmarkStart w:id="616" w:name="_Toc97032744"/>
      <w:bookmarkStart w:id="617" w:name="_Toc85357135"/>
      <w:r>
        <w:rPr>
          <w:rFonts w:hint="default" w:ascii="Times New Roman" w:hAnsi="Times New Roman" w:eastAsia="黑体" w:cs="Times New Roman"/>
          <w:b w:val="0"/>
          <w:bCs w:val="0"/>
          <w:color w:val="000000"/>
          <w:sz w:val="32"/>
          <w:szCs w:val="32"/>
          <w:lang w:val="en-US" w:eastAsia="zh-CN" w:bidi="ar-SA"/>
        </w:rPr>
        <w:t>十四、</w:t>
      </w:r>
      <w:r>
        <w:rPr>
          <w:rFonts w:hint="default" w:ascii="Times New Roman" w:hAnsi="Times New Roman" w:eastAsia="黑体" w:cs="Times New Roman"/>
          <w:b w:val="0"/>
          <w:bCs w:val="0"/>
          <w:color w:val="000000"/>
          <w:sz w:val="32"/>
          <w:szCs w:val="32"/>
        </w:rPr>
        <w:t>其他</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06C6E7A3">
      <w:pPr>
        <w:snapToGrid w:val="0"/>
        <w:spacing w:beforeLines="0" w:afterLines="0" w:line="57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）比选申请人应遵循公开、公平、公正和诚实信用的原则。</w:t>
      </w:r>
    </w:p>
    <w:p w14:paraId="63E84729">
      <w:pPr>
        <w:snapToGrid w:val="0"/>
        <w:spacing w:beforeLines="0" w:afterLines="0" w:line="57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）不允许任何比选申请人提交或参与提交两份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含两份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以上不同的比选申请书。比选申请人的比选申请书在比选工作结束后，不归还给比选申请人。</w:t>
      </w:r>
    </w:p>
    <w:bookmarkEnd w:id="612"/>
    <w:bookmarkEnd w:id="613"/>
    <w:bookmarkEnd w:id="614"/>
    <w:bookmarkEnd w:id="615"/>
    <w:bookmarkEnd w:id="616"/>
    <w:bookmarkEnd w:id="617"/>
    <w:p w14:paraId="494E90D6">
      <w:pPr>
        <w:snapToGrid w:val="0"/>
        <w:spacing w:beforeLines="0" w:afterLines="0" w:line="570" w:lineRule="exact"/>
        <w:ind w:left="0" w:firstLine="640" w:firstLineChars="200"/>
        <w:rPr>
          <w:rFonts w:hint="default" w:ascii="Times New Roman" w:hAnsi="Times New Roman" w:eastAsia="仿宋_GB2312" w:cs="Times New Roman"/>
          <w:sz w:val="32"/>
          <w:szCs w:val="32"/>
        </w:rPr>
      </w:pPr>
      <w:bookmarkStart w:id="618" w:name="_Toc358535026"/>
      <w:bookmarkStart w:id="619" w:name="_Toc109182925"/>
      <w:bookmarkStart w:id="620" w:name="_Toc85357136"/>
      <w:bookmarkStart w:id="621" w:name="_Toc90040466"/>
      <w:bookmarkStart w:id="622" w:name="_Toc110171510"/>
      <w:bookmarkStart w:id="623" w:name="_Toc97447895"/>
      <w:bookmarkStart w:id="624" w:name="_Toc97032745"/>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）比选人不对未中选人作任何解释。</w:t>
      </w:r>
    </w:p>
    <w:p w14:paraId="43938C1E">
      <w:pPr>
        <w:snapToGrid w:val="0"/>
        <w:spacing w:beforeLines="0" w:afterLines="0" w:line="57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）比选申请人不得提供虚假文件，一经发现，将取消该比选申请人的比选资格。</w:t>
      </w:r>
    </w:p>
    <w:p w14:paraId="48C09D97">
      <w:pPr>
        <w:pStyle w:val="3"/>
        <w:numPr>
          <w:ilvl w:val="0"/>
          <w:numId w:val="0"/>
        </w:numPr>
        <w:tabs>
          <w:tab w:val="left" w:pos="0"/>
        </w:tabs>
        <w:autoSpaceDE/>
        <w:autoSpaceDN/>
        <w:spacing w:beforeLines="0" w:afterLines="0" w:line="570" w:lineRule="exact"/>
        <w:ind w:left="0" w:leftChars="0" w:firstLine="482" w:firstLineChars="0"/>
        <w:jc w:val="both"/>
        <w:rPr>
          <w:rFonts w:hint="default" w:ascii="Times New Roman" w:hAnsi="Times New Roman" w:eastAsia="黑体" w:cs="Times New Roman"/>
          <w:b w:val="0"/>
          <w:bCs w:val="0"/>
          <w:color w:val="000000"/>
          <w:sz w:val="32"/>
          <w:szCs w:val="32"/>
        </w:rPr>
      </w:pPr>
      <w:bookmarkStart w:id="625" w:name="_Toc26429"/>
      <w:bookmarkStart w:id="626" w:name="_Toc4091"/>
      <w:bookmarkStart w:id="627" w:name="_Toc22957"/>
      <w:bookmarkStart w:id="628" w:name="_Toc29908"/>
      <w:bookmarkStart w:id="629" w:name="_Toc27662"/>
      <w:bookmarkStart w:id="630" w:name="_Toc23025"/>
      <w:bookmarkStart w:id="631" w:name="_Toc18593"/>
      <w:bookmarkStart w:id="632" w:name="_Toc1693"/>
      <w:bookmarkStart w:id="633" w:name="_Toc7411"/>
      <w:bookmarkStart w:id="634" w:name="_Toc16558"/>
      <w:bookmarkStart w:id="635" w:name="_Toc736"/>
      <w:bookmarkStart w:id="636" w:name="_Toc1433"/>
      <w:bookmarkStart w:id="637" w:name="_Toc23532"/>
      <w:bookmarkStart w:id="638" w:name="_Toc22396"/>
      <w:bookmarkStart w:id="639" w:name="_Toc29949"/>
      <w:bookmarkStart w:id="640" w:name="_Toc21428"/>
      <w:bookmarkStart w:id="641" w:name="_Toc23399"/>
      <w:bookmarkStart w:id="642" w:name="_Toc31020"/>
      <w:bookmarkStart w:id="643" w:name="_Toc2047"/>
      <w:bookmarkStart w:id="644" w:name="_Toc11128"/>
      <w:bookmarkStart w:id="645" w:name="_Toc11573"/>
      <w:bookmarkStart w:id="646" w:name="_Toc21337"/>
      <w:bookmarkStart w:id="647" w:name="_Toc10250"/>
      <w:bookmarkStart w:id="648" w:name="_Toc27967"/>
      <w:bookmarkStart w:id="649" w:name="_Toc27174"/>
      <w:r>
        <w:rPr>
          <w:rFonts w:hint="default" w:ascii="Times New Roman" w:hAnsi="Times New Roman" w:eastAsia="黑体" w:cs="Times New Roman"/>
          <w:b w:val="0"/>
          <w:bCs w:val="0"/>
          <w:color w:val="000000"/>
          <w:sz w:val="32"/>
          <w:szCs w:val="32"/>
          <w:lang w:val="en-US" w:eastAsia="zh-CN" w:bidi="ar-SA"/>
        </w:rPr>
        <w:t>十五、</w:t>
      </w:r>
      <w:r>
        <w:rPr>
          <w:rFonts w:hint="default" w:ascii="Times New Roman" w:hAnsi="Times New Roman" w:eastAsia="黑体" w:cs="Times New Roman"/>
          <w:b w:val="0"/>
          <w:bCs w:val="0"/>
          <w:color w:val="000000"/>
          <w:sz w:val="32"/>
          <w:szCs w:val="32"/>
        </w:rPr>
        <w:t>联系方式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2F66A71A">
      <w:pPr>
        <w:spacing w:beforeLines="0" w:afterLines="0" w:line="57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比</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选</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四川蜀道铁路运营管理集团有限责任公司</w:t>
      </w:r>
    </w:p>
    <w:p w14:paraId="6DB02998">
      <w:pPr>
        <w:spacing w:beforeLines="0" w:afterLines="0" w:line="57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rPr>
        <w:t xml:space="preserve">地   </w:t>
      </w:r>
      <w:r>
        <w:rPr>
          <w:rFonts w:hint="default" w:ascii="Times New Roman" w:hAnsi="Times New Roman" w:eastAsia="仿宋_GB2312" w:cs="Times New Roman"/>
          <w:sz w:val="32"/>
          <w:szCs w:val="32"/>
          <w:highlight w:val="none"/>
        </w:rPr>
        <w:t xml:space="preserve"> 址：</w:t>
      </w:r>
      <w:r>
        <w:rPr>
          <w:rFonts w:hint="default" w:ascii="Times New Roman" w:hAnsi="Times New Roman" w:eastAsia="仿宋_GB2312" w:cs="Times New Roman"/>
          <w:sz w:val="32"/>
          <w:szCs w:val="32"/>
          <w:highlight w:val="none"/>
          <w:lang w:eastAsia="zh-CN"/>
        </w:rPr>
        <w:t>四川省成都市</w:t>
      </w:r>
      <w:r>
        <w:rPr>
          <w:rFonts w:hint="default" w:ascii="Times New Roman" w:hAnsi="Times New Roman" w:eastAsia="仿宋_GB2312" w:cs="Times New Roman"/>
          <w:sz w:val="32"/>
          <w:szCs w:val="32"/>
          <w:highlight w:val="none"/>
          <w:lang w:val="en-US" w:eastAsia="zh-CN"/>
        </w:rPr>
        <w:t xml:space="preserve">高新区两江国际A座23层 </w:t>
      </w:r>
    </w:p>
    <w:p w14:paraId="676CD6C4">
      <w:pPr>
        <w:spacing w:beforeLines="0" w:afterLines="0" w:line="57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 系 人：</w:t>
      </w:r>
      <w:r>
        <w:rPr>
          <w:rFonts w:hint="default" w:ascii="Times New Roman" w:hAnsi="Times New Roman" w:eastAsia="仿宋_GB2312" w:cs="Times New Roman"/>
          <w:sz w:val="32"/>
          <w:szCs w:val="32"/>
          <w:highlight w:val="none"/>
          <w:lang w:val="en-US" w:eastAsia="zh-CN"/>
        </w:rPr>
        <w:t>王先生</w:t>
      </w:r>
    </w:p>
    <w:p w14:paraId="3BFEAF83">
      <w:pPr>
        <w:keepLines w:val="0"/>
        <w:spacing w:beforeLines="0" w:afterLines="0" w:line="570" w:lineRule="exact"/>
        <w:ind w:firstLine="640" w:firstLineChars="200"/>
        <w:rPr>
          <w:rFonts w:hint="default" w:ascii="Times New Roman" w:hAnsi="Times New Roman" w:eastAsia="仿宋_GB2312" w:cs="Times New Roman"/>
          <w:sz w:val="32"/>
          <w:szCs w:val="32"/>
        </w:rPr>
      </w:pPr>
      <w:bookmarkStart w:id="650" w:name="_Toc12725"/>
      <w:bookmarkStart w:id="651" w:name="_Toc503280717"/>
      <w:bookmarkStart w:id="652" w:name="_Toc18119"/>
      <w:bookmarkStart w:id="653" w:name="_Toc32278"/>
      <w:r>
        <w:rPr>
          <w:rFonts w:hint="default" w:ascii="Times New Roman" w:hAnsi="Times New Roman" w:eastAsia="仿宋_GB2312" w:cs="Times New Roman"/>
          <w:color w:val="000000"/>
          <w:sz w:val="32"/>
          <w:szCs w:val="32"/>
          <w:highlight w:val="none"/>
        </w:rPr>
        <w:t>联系</w:t>
      </w:r>
      <w:r>
        <w:rPr>
          <w:rFonts w:hint="default" w:ascii="Times New Roman" w:hAnsi="Times New Roman" w:eastAsia="仿宋_GB2312" w:cs="Times New Roman"/>
          <w:color w:val="000000"/>
          <w:sz w:val="32"/>
          <w:szCs w:val="32"/>
          <w:highlight w:val="none"/>
          <w:lang w:val="en-US" w:eastAsia="zh-CN"/>
        </w:rPr>
        <w:t>方式</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028-81266172</w:t>
      </w:r>
    </w:p>
    <w:p w14:paraId="1E92637B">
      <w:pPr>
        <w:pStyle w:val="2"/>
        <w:spacing w:before="0" w:beforeLines="0" w:after="0" w:afterLines="0" w:line="560" w:lineRule="exact"/>
        <w:ind w:firstLine="0" w:firstLineChars="0"/>
        <w:jc w:val="center"/>
        <w:rPr>
          <w:rFonts w:hint="eastAsia" w:ascii="微软雅黑" w:hAnsi="微软雅黑" w:eastAsia="微软雅黑" w:cs="微软雅黑"/>
          <w:sz w:val="44"/>
          <w:szCs w:val="44"/>
        </w:rPr>
      </w:pPr>
      <w:bookmarkStart w:id="654" w:name="_Toc770"/>
    </w:p>
    <w:p w14:paraId="57A529A9">
      <w:pPr>
        <w:rPr>
          <w:rFonts w:hint="eastAsia" w:ascii="微软雅黑" w:hAnsi="微软雅黑" w:eastAsia="微软雅黑" w:cs="微软雅黑"/>
          <w:sz w:val="44"/>
          <w:szCs w:val="44"/>
        </w:rPr>
      </w:pPr>
    </w:p>
    <w:p w14:paraId="435D4DAB">
      <w:pPr>
        <w:pStyle w:val="8"/>
        <w:rPr>
          <w:rFonts w:hint="eastAsia"/>
        </w:rPr>
      </w:pPr>
    </w:p>
    <w:p w14:paraId="0412A3B3">
      <w:pPr>
        <w:rPr>
          <w:rFonts w:hint="eastAsia"/>
        </w:rPr>
      </w:pPr>
    </w:p>
    <w:p w14:paraId="170A1E5F">
      <w:pPr>
        <w:pStyle w:val="16"/>
        <w:rPr>
          <w:rFonts w:hint="eastAsia"/>
        </w:rPr>
      </w:pPr>
    </w:p>
    <w:p w14:paraId="4D3CF874">
      <w:pPr>
        <w:pStyle w:val="8"/>
        <w:rPr>
          <w:rFonts w:hint="eastAsia"/>
        </w:rPr>
      </w:pPr>
    </w:p>
    <w:p w14:paraId="13C4ABD5">
      <w:pPr>
        <w:rPr>
          <w:rFonts w:hint="eastAsia"/>
        </w:rPr>
      </w:pPr>
    </w:p>
    <w:p w14:paraId="5CCC2C05">
      <w:pPr>
        <w:rPr>
          <w:rFonts w:hint="eastAsia"/>
        </w:rPr>
      </w:pPr>
    </w:p>
    <w:p w14:paraId="7153D472">
      <w:pPr>
        <w:rPr>
          <w:rFonts w:hint="eastAsia"/>
        </w:rPr>
      </w:pPr>
    </w:p>
    <w:p w14:paraId="4E0A111F">
      <w:pPr>
        <w:rPr>
          <w:rFonts w:hint="eastAsia"/>
        </w:rPr>
      </w:pPr>
    </w:p>
    <w:p w14:paraId="5A61EB3D">
      <w:pPr>
        <w:rPr>
          <w:rFonts w:hint="eastAsia"/>
        </w:rPr>
      </w:pPr>
    </w:p>
    <w:p w14:paraId="16995C59">
      <w:pPr>
        <w:rPr>
          <w:rFonts w:hint="eastAsia"/>
        </w:rPr>
      </w:pPr>
    </w:p>
    <w:p w14:paraId="1443B714">
      <w:pPr>
        <w:rPr>
          <w:rFonts w:hint="eastAsia"/>
        </w:rPr>
      </w:pPr>
    </w:p>
    <w:p w14:paraId="6E8F25A6">
      <w:pPr>
        <w:rPr>
          <w:rFonts w:hint="eastAsia"/>
        </w:rPr>
      </w:pPr>
    </w:p>
    <w:p w14:paraId="2F3A4050">
      <w:pPr>
        <w:pStyle w:val="16"/>
        <w:rPr>
          <w:rFonts w:hint="eastAsia"/>
        </w:rPr>
      </w:pPr>
    </w:p>
    <w:p w14:paraId="4094605F">
      <w:pPr>
        <w:pStyle w:val="2"/>
        <w:spacing w:beforeLines="0" w:afterLines="0" w:line="570" w:lineRule="exact"/>
        <w:ind w:firstLine="0" w:firstLineChars="0"/>
        <w:jc w:val="center"/>
        <w:rPr>
          <w:rFonts w:hint="default" w:ascii="Times New Roman" w:hAnsi="Times New Roman" w:eastAsia="仿宋_GB2312" w:cs="Times New Roman"/>
          <w:sz w:val="24"/>
          <w:szCs w:val="24"/>
        </w:rPr>
      </w:pPr>
      <w:bookmarkStart w:id="655" w:name="_Toc17496"/>
      <w:bookmarkStart w:id="656" w:name="_Toc22266"/>
      <w:bookmarkStart w:id="657" w:name="_Toc15447"/>
      <w:bookmarkStart w:id="658" w:name="_Toc14377"/>
      <w:bookmarkStart w:id="659" w:name="_Toc5010"/>
      <w:bookmarkStart w:id="660" w:name="_Toc15075"/>
      <w:bookmarkStart w:id="661" w:name="_Toc31224"/>
      <w:bookmarkStart w:id="662" w:name="_Toc29480"/>
      <w:bookmarkStart w:id="663" w:name="_Toc7032"/>
      <w:bookmarkStart w:id="664" w:name="_Toc18231"/>
      <w:bookmarkStart w:id="665" w:name="_Toc19550"/>
      <w:bookmarkStart w:id="666" w:name="_Toc28966"/>
      <w:bookmarkStart w:id="667" w:name="_Toc31513"/>
      <w:bookmarkStart w:id="668" w:name="_Toc31835"/>
      <w:bookmarkStart w:id="669" w:name="_Toc12078"/>
      <w:bookmarkStart w:id="670" w:name="_Toc10430"/>
      <w:bookmarkStart w:id="671" w:name="_Toc15552"/>
      <w:bookmarkStart w:id="672" w:name="_Toc2199"/>
      <w:bookmarkStart w:id="673" w:name="_Toc16921"/>
      <w:bookmarkStart w:id="674" w:name="_Toc25893"/>
      <w:bookmarkStart w:id="675" w:name="_Toc3913"/>
      <w:r>
        <w:rPr>
          <w:rFonts w:hint="eastAsia" w:ascii="方正小标宋简体" w:hAnsi="方正小标宋简体" w:eastAsia="方正小标宋简体" w:cs="方正小标宋简体"/>
          <w:b w:val="0"/>
          <w:bCs w:val="0"/>
          <w:sz w:val="44"/>
          <w:szCs w:val="44"/>
        </w:rPr>
        <w:t>第三章  评审与中选</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Start w:id="676" w:name="_Toc503280718"/>
      <w:bookmarkStart w:id="677" w:name="_Toc29605"/>
      <w:bookmarkStart w:id="678" w:name="_Toc15576"/>
      <w:bookmarkStart w:id="679" w:name="_Toc13670"/>
    </w:p>
    <w:p w14:paraId="6395609F">
      <w:pPr>
        <w:pStyle w:val="3"/>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黑体" w:cs="Times New Roman"/>
          <w:b w:val="0"/>
          <w:bCs w:val="0"/>
          <w:sz w:val="32"/>
          <w:szCs w:val="32"/>
        </w:rPr>
      </w:pPr>
      <w:bookmarkStart w:id="680" w:name="_Toc10383"/>
      <w:bookmarkStart w:id="681" w:name="_Toc4827"/>
      <w:bookmarkStart w:id="682" w:name="_Toc18432"/>
      <w:bookmarkStart w:id="683" w:name="_Toc22613"/>
      <w:bookmarkStart w:id="684" w:name="_Toc24157"/>
      <w:bookmarkStart w:id="685" w:name="_Toc14563"/>
      <w:bookmarkStart w:id="686" w:name="_Toc6527"/>
      <w:bookmarkStart w:id="687" w:name="_Toc28113"/>
      <w:bookmarkStart w:id="688" w:name="_Toc809"/>
      <w:bookmarkStart w:id="689" w:name="_Toc29267"/>
      <w:bookmarkStart w:id="690" w:name="_Toc18843"/>
      <w:bookmarkStart w:id="691" w:name="_Toc28880"/>
      <w:bookmarkStart w:id="692" w:name="_Toc29517"/>
      <w:bookmarkStart w:id="693" w:name="_Toc18632"/>
      <w:bookmarkStart w:id="694" w:name="_Toc10292"/>
      <w:bookmarkStart w:id="695" w:name="_Toc7747"/>
      <w:bookmarkStart w:id="696" w:name="_Toc25956"/>
      <w:bookmarkStart w:id="697" w:name="_Toc30783"/>
      <w:bookmarkStart w:id="698" w:name="_Toc9951"/>
      <w:bookmarkStart w:id="699" w:name="_Toc16365"/>
      <w:bookmarkStart w:id="700" w:name="_Toc10438"/>
      <w:bookmarkStart w:id="701" w:name="_Toc31887"/>
      <w:r>
        <w:rPr>
          <w:rFonts w:hint="default" w:ascii="Times New Roman" w:hAnsi="Times New Roman" w:eastAsia="黑体" w:cs="Times New Roman"/>
          <w:b w:val="0"/>
          <w:bCs w:val="0"/>
          <w:sz w:val="32"/>
          <w:szCs w:val="32"/>
        </w:rPr>
        <w:t>一、评审委员会</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651C82B1">
      <w:pPr>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委员会（下称“评委会”）是按《四川省国资委及出资企业中介机构选聘管理试行办法》（下称“《办法》”）等规定及相关法律法规依法组建的评审小组，负责本次评审活动，并对比选人负责。评审委员会由比选人按相关规定选取，评审委员会人数为5人。评委会所有成员具有同等表决权。评委会成员实行主动回避制度。评委会成员应当客观、公正地履行职责，遵守职业道德，对所提出的评审意见承担个人责任。</w:t>
      </w:r>
    </w:p>
    <w:p w14:paraId="69CD9A75">
      <w:pPr>
        <w:pStyle w:val="3"/>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黑体" w:cs="Times New Roman"/>
          <w:b w:val="0"/>
          <w:bCs w:val="0"/>
          <w:sz w:val="32"/>
          <w:szCs w:val="32"/>
        </w:rPr>
      </w:pPr>
      <w:bookmarkStart w:id="702" w:name="_Toc22776"/>
      <w:bookmarkStart w:id="703" w:name="_Toc1530"/>
      <w:bookmarkStart w:id="704" w:name="_Toc27318"/>
      <w:bookmarkStart w:id="705" w:name="_Toc12007"/>
      <w:bookmarkStart w:id="706" w:name="_Toc3655"/>
      <w:bookmarkStart w:id="707" w:name="_Toc15291"/>
      <w:bookmarkStart w:id="708" w:name="_Toc27462"/>
      <w:bookmarkStart w:id="709" w:name="_Toc5079"/>
      <w:bookmarkStart w:id="710" w:name="_Toc15845"/>
      <w:bookmarkStart w:id="711" w:name="_Toc5958"/>
      <w:bookmarkStart w:id="712" w:name="_Toc23632"/>
      <w:bookmarkStart w:id="713" w:name="_Toc11645"/>
      <w:bookmarkStart w:id="714" w:name="_Toc20442"/>
      <w:bookmarkStart w:id="715" w:name="_Toc19026"/>
      <w:bookmarkStart w:id="716" w:name="_Toc3365"/>
      <w:bookmarkStart w:id="717" w:name="_Toc22564"/>
      <w:bookmarkStart w:id="718" w:name="_Toc32664"/>
      <w:bookmarkStart w:id="719" w:name="_Toc20830"/>
      <w:bookmarkStart w:id="720" w:name="_Toc15746"/>
      <w:bookmarkStart w:id="721" w:name="_Toc26847"/>
      <w:bookmarkStart w:id="722" w:name="_Toc503280719"/>
      <w:bookmarkStart w:id="723" w:name="_Toc18177"/>
      <w:bookmarkStart w:id="724" w:name="_Toc23471"/>
      <w:bookmarkStart w:id="725" w:name="_Toc6931"/>
      <w:bookmarkStart w:id="726" w:name="_Toc24298"/>
      <w:bookmarkStart w:id="727" w:name="_Toc30599"/>
      <w:r>
        <w:rPr>
          <w:rFonts w:hint="default" w:ascii="Times New Roman" w:hAnsi="Times New Roman" w:eastAsia="黑体" w:cs="Times New Roman"/>
          <w:b w:val="0"/>
          <w:bCs w:val="0"/>
          <w:sz w:val="32"/>
          <w:szCs w:val="32"/>
        </w:rPr>
        <w:t>二、评审方法</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166974C4">
      <w:pPr>
        <w:pStyle w:val="1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本评审方法和标准遵循公平、公正、科学、择优的原则，并结合本项目的实际情况制定。</w:t>
      </w:r>
    </w:p>
    <w:p w14:paraId="7BF102B0">
      <w:pPr>
        <w:pStyle w:val="11"/>
        <w:keepLines w:val="0"/>
        <w:pageBreakBefore w:val="0"/>
        <w:widowControl w:val="0"/>
        <w:tabs>
          <w:tab w:val="left" w:pos="3960"/>
        </w:tabs>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（一）评审原则及评审方法</w:t>
      </w:r>
    </w:p>
    <w:p w14:paraId="15094E96">
      <w:pPr>
        <w:pStyle w:val="1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1.评审活动遵循公平、公正、科学、择优的原则。</w:t>
      </w:r>
    </w:p>
    <w:p w14:paraId="5F116CAF">
      <w:pPr>
        <w:pStyle w:val="1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2.评审方法：综合评分法</w:t>
      </w:r>
      <w:r>
        <w:rPr>
          <w:rFonts w:hint="default" w:ascii="Times New Roman" w:hAnsi="Times New Roman" w:eastAsia="仿宋_GB2312" w:cs="Times New Roman"/>
          <w:sz w:val="32"/>
          <w:szCs w:val="32"/>
          <w:lang w:eastAsia="zh-CN"/>
        </w:rPr>
        <w:t>。</w:t>
      </w:r>
    </w:p>
    <w:p w14:paraId="6E0F6071">
      <w:pPr>
        <w:spacing w:line="57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3.评审程序：</w:t>
      </w:r>
      <w:r>
        <w:rPr>
          <w:rFonts w:hint="default" w:ascii="Times New Roman" w:hAnsi="Times New Roman" w:eastAsia="仿宋_GB2312" w:cs="Times New Roman"/>
          <w:sz w:val="32"/>
          <w:szCs w:val="32"/>
        </w:rPr>
        <w:t>初步评审→谈判→详细评审评分→编写评审报告。</w:t>
      </w:r>
    </w:p>
    <w:p w14:paraId="2B9B536D">
      <w:pPr>
        <w:pStyle w:val="1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比选申请书及比选</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文件是评审工作的首要依据，比选申请书必须符合比选文件的要求，且必须实质上响应</w:t>
      </w:r>
      <w:r>
        <w:rPr>
          <w:rFonts w:hint="default" w:ascii="Times New Roman" w:hAnsi="Times New Roman" w:eastAsia="仿宋_GB2312" w:cs="Times New Roman"/>
          <w:sz w:val="24"/>
          <w:szCs w:val="24"/>
        </w:rPr>
        <w:t>。</w:t>
      </w:r>
    </w:p>
    <w:p w14:paraId="73DBC389">
      <w:pPr>
        <w:pStyle w:val="11"/>
        <w:keepLines w:val="0"/>
        <w:pageBreakBefore w:val="0"/>
        <w:widowControl w:val="0"/>
        <w:tabs>
          <w:tab w:val="left" w:pos="3960"/>
        </w:tabs>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rPr>
        <w:t>（二）</w:t>
      </w:r>
      <w:r>
        <w:rPr>
          <w:rFonts w:hint="default" w:ascii="Times New Roman" w:hAnsi="Times New Roman" w:eastAsia="楷体_GB2312" w:cs="Times New Roman"/>
          <w:b w:val="0"/>
          <w:bCs/>
          <w:sz w:val="32"/>
          <w:szCs w:val="32"/>
          <w:lang w:val="en-US" w:eastAsia="zh-CN"/>
        </w:rPr>
        <w:t>初步评审</w:t>
      </w:r>
    </w:p>
    <w:p w14:paraId="6F630291">
      <w:pPr>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评委员会首先对所有比选申请文件进行初步审查，比选申请人必须对比选文件做出实质响应。若比选申请文件有与初步评审表中所列任何一种情况不符的，则属重大偏差，将不进入综合评审。</w:t>
      </w:r>
    </w:p>
    <w:p w14:paraId="7B61BEF5">
      <w:pPr>
        <w:spacing w:before="0" w:beforeLines="0" w:after="157" w:afterLines="50" w:line="240" w:lineRule="atLeast"/>
        <w:jc w:val="center"/>
        <w:rPr>
          <w:rFonts w:hint="default" w:ascii="Times New Roman" w:hAnsi="Times New Roman" w:eastAsia="仿宋_GB2312" w:cs="Times New Roman"/>
          <w:b/>
          <w:sz w:val="32"/>
          <w:szCs w:val="36"/>
        </w:rPr>
      </w:pPr>
      <w:r>
        <w:rPr>
          <w:rFonts w:hint="default" w:ascii="Times New Roman" w:hAnsi="Times New Roman" w:eastAsia="仿宋_GB2312" w:cs="Times New Roman"/>
          <w:b/>
          <w:sz w:val="32"/>
          <w:szCs w:val="36"/>
        </w:rPr>
        <w:t>初步评审表</w:t>
      </w:r>
    </w:p>
    <w:tbl>
      <w:tblPr>
        <w:tblStyle w:val="17"/>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958"/>
        <w:gridCol w:w="4982"/>
        <w:gridCol w:w="1467"/>
      </w:tblGrid>
      <w:tr w14:paraId="2BF5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44" w:type="dxa"/>
            <w:noWrap w:val="0"/>
            <w:vAlign w:val="center"/>
          </w:tcPr>
          <w:p w14:paraId="79B17303">
            <w:pPr>
              <w:snapToGrid w:val="0"/>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58" w:type="dxa"/>
            <w:noWrap w:val="0"/>
            <w:vAlign w:val="center"/>
          </w:tcPr>
          <w:p w14:paraId="30297ABB">
            <w:pPr>
              <w:snapToGrid w:val="0"/>
              <w:spacing w:line="400" w:lineRule="exact"/>
              <w:jc w:val="center"/>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评审内容</w:t>
            </w:r>
          </w:p>
        </w:tc>
        <w:tc>
          <w:tcPr>
            <w:tcW w:w="4982" w:type="dxa"/>
            <w:shd w:val="clear" w:color="auto" w:fill="auto"/>
            <w:noWrap w:val="0"/>
            <w:vAlign w:val="center"/>
          </w:tcPr>
          <w:p w14:paraId="379D6FDD">
            <w:pPr>
              <w:snapToGrid w:val="0"/>
              <w:spacing w:line="400" w:lineRule="exact"/>
              <w:jc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szCs w:val="24"/>
              </w:rPr>
              <w:t>评审标准</w:t>
            </w:r>
          </w:p>
        </w:tc>
        <w:tc>
          <w:tcPr>
            <w:tcW w:w="1467" w:type="dxa"/>
            <w:noWrap w:val="0"/>
            <w:vAlign w:val="center"/>
          </w:tcPr>
          <w:p w14:paraId="54B39A6F">
            <w:pPr>
              <w:snapToGrid w:val="0"/>
              <w:spacing w:line="40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结论               （填写“是”或“否”）</w:t>
            </w:r>
          </w:p>
        </w:tc>
      </w:tr>
      <w:tr w14:paraId="39FE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644" w:type="dxa"/>
            <w:noWrap w:val="0"/>
            <w:vAlign w:val="center"/>
          </w:tcPr>
          <w:p w14:paraId="79746432">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58" w:type="dxa"/>
            <w:vMerge w:val="restart"/>
            <w:noWrap w:val="0"/>
            <w:vAlign w:val="center"/>
          </w:tcPr>
          <w:p w14:paraId="75F9D553">
            <w:pPr>
              <w:snapToGrid w:val="0"/>
              <w:spacing w:line="40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形式评审</w:t>
            </w:r>
          </w:p>
        </w:tc>
        <w:tc>
          <w:tcPr>
            <w:tcW w:w="4982" w:type="dxa"/>
            <w:shd w:val="clear" w:color="auto" w:fill="auto"/>
            <w:noWrap w:val="0"/>
            <w:vAlign w:val="center"/>
          </w:tcPr>
          <w:p w14:paraId="3F584813">
            <w:pPr>
              <w:snapToGrid w:val="0"/>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企业营业执照或事业单位法人证书有效，具有主体信用</w:t>
            </w:r>
            <w:r>
              <w:rPr>
                <w:rFonts w:hint="eastAsia" w:ascii="仿宋_GB2312" w:hAnsi="仿宋_GB2312" w:eastAsia="仿宋_GB2312" w:cs="仿宋_GB2312"/>
                <w:color w:val="000000"/>
                <w:sz w:val="24"/>
                <w:szCs w:val="24"/>
              </w:rPr>
              <w:t>评级</w:t>
            </w:r>
            <w:r>
              <w:rPr>
                <w:rFonts w:hint="eastAsia" w:ascii="仿宋_GB2312" w:hAnsi="仿宋_GB2312" w:eastAsia="仿宋_GB2312" w:cs="仿宋_GB2312"/>
                <w:sz w:val="24"/>
                <w:szCs w:val="24"/>
              </w:rPr>
              <w:t>资质的证明文件</w:t>
            </w:r>
            <w:r>
              <w:rPr>
                <w:rFonts w:hint="eastAsia" w:ascii="仿宋_GB2312" w:hAnsi="仿宋_GB2312" w:eastAsia="仿宋_GB2312" w:cs="仿宋_GB2312"/>
                <w:color w:val="000000"/>
                <w:sz w:val="24"/>
                <w:szCs w:val="24"/>
              </w:rPr>
              <w:t>，为独立比选申请人</w:t>
            </w:r>
            <w:r>
              <w:rPr>
                <w:rFonts w:hint="eastAsia" w:ascii="仿宋_GB2312" w:hAnsi="仿宋_GB2312" w:eastAsia="仿宋_GB2312" w:cs="仿宋_GB2312"/>
                <w:sz w:val="24"/>
                <w:szCs w:val="24"/>
              </w:rPr>
              <w:t>。</w:t>
            </w:r>
          </w:p>
        </w:tc>
        <w:tc>
          <w:tcPr>
            <w:tcW w:w="1467" w:type="dxa"/>
            <w:noWrap w:val="0"/>
            <w:vAlign w:val="center"/>
          </w:tcPr>
          <w:p w14:paraId="4357ED58">
            <w:pPr>
              <w:spacing w:line="400" w:lineRule="exact"/>
              <w:jc w:val="center"/>
              <w:rPr>
                <w:rFonts w:hint="eastAsia" w:ascii="仿宋_GB2312" w:hAnsi="仿宋_GB2312" w:eastAsia="仿宋_GB2312" w:cs="仿宋_GB2312"/>
                <w:sz w:val="24"/>
                <w:szCs w:val="24"/>
              </w:rPr>
            </w:pPr>
          </w:p>
        </w:tc>
      </w:tr>
      <w:tr w14:paraId="5700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644" w:type="dxa"/>
            <w:noWrap w:val="0"/>
            <w:vAlign w:val="center"/>
          </w:tcPr>
          <w:p w14:paraId="75C9C843">
            <w:pPr>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1958" w:type="dxa"/>
            <w:vMerge w:val="continue"/>
            <w:noWrap w:val="0"/>
            <w:vAlign w:val="center"/>
          </w:tcPr>
          <w:p w14:paraId="2A10002E">
            <w:pPr>
              <w:snapToGrid w:val="0"/>
              <w:spacing w:line="400" w:lineRule="exact"/>
              <w:jc w:val="center"/>
              <w:rPr>
                <w:rFonts w:hint="eastAsia" w:ascii="仿宋_GB2312" w:hAnsi="仿宋_GB2312" w:eastAsia="仿宋_GB2312" w:cs="仿宋_GB2312"/>
                <w:b/>
                <w:bCs/>
                <w:sz w:val="24"/>
                <w:szCs w:val="24"/>
              </w:rPr>
            </w:pPr>
          </w:p>
        </w:tc>
        <w:tc>
          <w:tcPr>
            <w:tcW w:w="4982" w:type="dxa"/>
            <w:shd w:val="clear" w:color="auto" w:fill="auto"/>
            <w:noWrap w:val="0"/>
            <w:vAlign w:val="center"/>
          </w:tcPr>
          <w:p w14:paraId="350F48AA">
            <w:pPr>
              <w:snapToGrid w:val="0"/>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比选申请</w:t>
            </w:r>
            <w:r>
              <w:rPr>
                <w:rFonts w:hint="eastAsia" w:ascii="仿宋_GB2312" w:hAnsi="仿宋_GB2312" w:eastAsia="仿宋_GB2312" w:cs="仿宋_GB2312"/>
                <w:sz w:val="24"/>
                <w:szCs w:val="24"/>
                <w:lang w:val="en-US" w:eastAsia="zh-CN"/>
              </w:rPr>
              <w:t>文件</w:t>
            </w:r>
            <w:r>
              <w:rPr>
                <w:rFonts w:hint="eastAsia" w:ascii="仿宋_GB2312" w:hAnsi="仿宋_GB2312" w:eastAsia="仿宋_GB2312" w:cs="仿宋_GB2312"/>
                <w:sz w:val="24"/>
                <w:szCs w:val="24"/>
              </w:rPr>
              <w:t>有关内容按比选须知规定加盖比选申请人公章或经法定代表人签字或盖章（或其委托代理人签字），由委托代理人签字的，随比选申请书一起提交有效的法定代表人授权委托书原件。</w:t>
            </w:r>
          </w:p>
        </w:tc>
        <w:tc>
          <w:tcPr>
            <w:tcW w:w="1467" w:type="dxa"/>
            <w:noWrap w:val="0"/>
            <w:vAlign w:val="center"/>
          </w:tcPr>
          <w:p w14:paraId="155891DE">
            <w:pPr>
              <w:snapToGrid w:val="0"/>
              <w:spacing w:line="400" w:lineRule="exact"/>
              <w:ind w:left="840"/>
              <w:jc w:val="center"/>
              <w:rPr>
                <w:rFonts w:hint="eastAsia" w:ascii="仿宋_GB2312" w:hAnsi="仿宋_GB2312" w:eastAsia="仿宋_GB2312" w:cs="仿宋_GB2312"/>
                <w:sz w:val="24"/>
                <w:szCs w:val="24"/>
              </w:rPr>
            </w:pPr>
          </w:p>
        </w:tc>
      </w:tr>
      <w:tr w14:paraId="565F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44" w:type="dxa"/>
            <w:noWrap w:val="0"/>
            <w:vAlign w:val="center"/>
          </w:tcPr>
          <w:p w14:paraId="3CDAEE34">
            <w:pPr>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1958" w:type="dxa"/>
            <w:vMerge w:val="continue"/>
            <w:noWrap w:val="0"/>
            <w:vAlign w:val="center"/>
          </w:tcPr>
          <w:p w14:paraId="1F4B31E9">
            <w:pPr>
              <w:snapToGrid w:val="0"/>
              <w:spacing w:line="400" w:lineRule="exact"/>
              <w:jc w:val="center"/>
              <w:rPr>
                <w:rFonts w:hint="eastAsia" w:ascii="仿宋_GB2312" w:hAnsi="仿宋_GB2312" w:eastAsia="仿宋_GB2312" w:cs="仿宋_GB2312"/>
                <w:b/>
                <w:bCs/>
                <w:sz w:val="24"/>
                <w:szCs w:val="24"/>
              </w:rPr>
            </w:pPr>
          </w:p>
        </w:tc>
        <w:tc>
          <w:tcPr>
            <w:tcW w:w="4982" w:type="dxa"/>
            <w:shd w:val="clear" w:color="auto" w:fill="auto"/>
            <w:noWrap w:val="0"/>
            <w:vAlign w:val="center"/>
          </w:tcPr>
          <w:p w14:paraId="2D772025">
            <w:pPr>
              <w:snapToGrid w:val="0"/>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比选申请</w:t>
            </w:r>
            <w:r>
              <w:rPr>
                <w:rFonts w:hint="eastAsia" w:ascii="仿宋_GB2312" w:hAnsi="仿宋_GB2312" w:eastAsia="仿宋_GB2312" w:cs="仿宋_GB2312"/>
                <w:sz w:val="24"/>
                <w:szCs w:val="24"/>
                <w:lang w:val="en-US" w:eastAsia="zh-CN"/>
              </w:rPr>
              <w:t>文件</w:t>
            </w:r>
            <w:r>
              <w:rPr>
                <w:rFonts w:hint="eastAsia" w:ascii="仿宋_GB2312" w:hAnsi="仿宋_GB2312" w:eastAsia="仿宋_GB2312" w:cs="仿宋_GB2312"/>
                <w:sz w:val="24"/>
                <w:szCs w:val="24"/>
              </w:rPr>
              <w:t>不存在附有比选人不能接受的条件。</w:t>
            </w:r>
          </w:p>
        </w:tc>
        <w:tc>
          <w:tcPr>
            <w:tcW w:w="1467" w:type="dxa"/>
            <w:noWrap w:val="0"/>
            <w:vAlign w:val="center"/>
          </w:tcPr>
          <w:p w14:paraId="4EC82E7D">
            <w:pPr>
              <w:spacing w:line="400" w:lineRule="exact"/>
              <w:jc w:val="center"/>
              <w:rPr>
                <w:rFonts w:hint="eastAsia" w:ascii="仿宋_GB2312" w:hAnsi="仿宋_GB2312" w:eastAsia="仿宋_GB2312" w:cs="仿宋_GB2312"/>
                <w:sz w:val="24"/>
                <w:szCs w:val="24"/>
              </w:rPr>
            </w:pPr>
          </w:p>
        </w:tc>
      </w:tr>
      <w:tr w14:paraId="6121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644" w:type="dxa"/>
            <w:noWrap w:val="0"/>
            <w:vAlign w:val="center"/>
          </w:tcPr>
          <w:p w14:paraId="73BFA161">
            <w:pPr>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p>
        </w:tc>
        <w:tc>
          <w:tcPr>
            <w:tcW w:w="1958" w:type="dxa"/>
            <w:noWrap w:val="0"/>
            <w:vAlign w:val="center"/>
          </w:tcPr>
          <w:p w14:paraId="48B309EF">
            <w:pPr>
              <w:snapToGrid w:val="0"/>
              <w:spacing w:line="40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资格评审</w:t>
            </w:r>
          </w:p>
        </w:tc>
        <w:tc>
          <w:tcPr>
            <w:tcW w:w="4982" w:type="dxa"/>
            <w:shd w:val="clear" w:color="auto" w:fill="auto"/>
            <w:noWrap w:val="0"/>
            <w:vAlign w:val="center"/>
          </w:tcPr>
          <w:p w14:paraId="7811F50D">
            <w:pPr>
              <w:snapToGrid w:val="0"/>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投标人的资质要求应符合</w:t>
            </w:r>
            <w:r>
              <w:rPr>
                <w:rFonts w:hint="eastAsia" w:ascii="仿宋_GB2312" w:hAnsi="仿宋_GB2312" w:eastAsia="仿宋_GB2312" w:cs="仿宋_GB2312"/>
                <w:sz w:val="24"/>
                <w:szCs w:val="24"/>
                <w:lang w:val="en-US" w:eastAsia="zh-CN"/>
              </w:rPr>
              <w:t>比选文件第二章第三条（二）比选申请人资格要求。</w:t>
            </w:r>
          </w:p>
        </w:tc>
        <w:tc>
          <w:tcPr>
            <w:tcW w:w="1467" w:type="dxa"/>
            <w:noWrap w:val="0"/>
            <w:vAlign w:val="center"/>
          </w:tcPr>
          <w:p w14:paraId="25886057">
            <w:pPr>
              <w:spacing w:line="400" w:lineRule="exact"/>
              <w:jc w:val="center"/>
              <w:rPr>
                <w:rFonts w:hint="eastAsia" w:ascii="仿宋_GB2312" w:hAnsi="仿宋_GB2312" w:eastAsia="仿宋_GB2312" w:cs="仿宋_GB2312"/>
                <w:sz w:val="24"/>
                <w:szCs w:val="24"/>
              </w:rPr>
            </w:pPr>
          </w:p>
        </w:tc>
      </w:tr>
      <w:tr w14:paraId="129A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44" w:type="dxa"/>
            <w:noWrap w:val="0"/>
            <w:vAlign w:val="center"/>
          </w:tcPr>
          <w:p w14:paraId="1E22685D">
            <w:pPr>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58" w:type="dxa"/>
            <w:vMerge w:val="restart"/>
            <w:noWrap w:val="0"/>
            <w:vAlign w:val="center"/>
          </w:tcPr>
          <w:p w14:paraId="2A50A325">
            <w:pPr>
              <w:snapToGrid w:val="0"/>
              <w:spacing w:line="400" w:lineRule="exact"/>
              <w:ind w:left="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响应性评审</w:t>
            </w:r>
          </w:p>
        </w:tc>
        <w:tc>
          <w:tcPr>
            <w:tcW w:w="4982" w:type="dxa"/>
            <w:shd w:val="clear" w:color="auto" w:fill="auto"/>
            <w:noWrap w:val="0"/>
            <w:vAlign w:val="top"/>
          </w:tcPr>
          <w:p w14:paraId="14A90C91">
            <w:pPr>
              <w:pStyle w:val="25"/>
              <w:spacing w:before="226" w:line="400" w:lineRule="exact"/>
              <w:ind w:left="0" w:leftChars="0"/>
              <w:jc w:val="left"/>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投标文件对招标文件的实质性要求和条件作出响应。</w:t>
            </w:r>
          </w:p>
        </w:tc>
        <w:tc>
          <w:tcPr>
            <w:tcW w:w="1467" w:type="dxa"/>
            <w:noWrap w:val="0"/>
            <w:vAlign w:val="center"/>
          </w:tcPr>
          <w:p w14:paraId="2655740D">
            <w:pPr>
              <w:snapToGrid w:val="0"/>
              <w:spacing w:line="400" w:lineRule="exact"/>
              <w:ind w:left="840"/>
              <w:jc w:val="center"/>
              <w:rPr>
                <w:rFonts w:hint="eastAsia" w:ascii="仿宋_GB2312" w:hAnsi="仿宋_GB2312" w:eastAsia="仿宋_GB2312" w:cs="仿宋_GB2312"/>
                <w:sz w:val="24"/>
                <w:szCs w:val="24"/>
              </w:rPr>
            </w:pPr>
          </w:p>
        </w:tc>
      </w:tr>
      <w:tr w14:paraId="3362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44" w:type="dxa"/>
            <w:noWrap w:val="0"/>
            <w:vAlign w:val="center"/>
          </w:tcPr>
          <w:p w14:paraId="42038CA1">
            <w:pPr>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58" w:type="dxa"/>
            <w:vMerge w:val="continue"/>
            <w:noWrap w:val="0"/>
            <w:vAlign w:val="center"/>
          </w:tcPr>
          <w:p w14:paraId="247FF7C7">
            <w:pPr>
              <w:snapToGrid w:val="0"/>
              <w:spacing w:line="400" w:lineRule="exact"/>
              <w:ind w:left="0"/>
              <w:jc w:val="left"/>
              <w:rPr>
                <w:rFonts w:hint="eastAsia" w:ascii="仿宋_GB2312" w:hAnsi="仿宋_GB2312" w:eastAsia="仿宋_GB2312" w:cs="仿宋_GB2312"/>
                <w:b/>
                <w:sz w:val="24"/>
                <w:szCs w:val="24"/>
              </w:rPr>
            </w:pPr>
          </w:p>
        </w:tc>
        <w:tc>
          <w:tcPr>
            <w:tcW w:w="4982" w:type="dxa"/>
            <w:shd w:val="clear" w:color="auto" w:fill="auto"/>
            <w:noWrap w:val="0"/>
            <w:vAlign w:val="top"/>
          </w:tcPr>
          <w:p w14:paraId="64B3BE1A">
            <w:pPr>
              <w:pStyle w:val="25"/>
              <w:spacing w:before="227" w:line="400" w:lineRule="exact"/>
              <w:ind w:left="0" w:leftChars="0"/>
              <w:jc w:val="left"/>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权利和义务按照招标文件规定在投标函中作出承诺。</w:t>
            </w:r>
          </w:p>
        </w:tc>
        <w:tc>
          <w:tcPr>
            <w:tcW w:w="1467" w:type="dxa"/>
            <w:noWrap w:val="0"/>
            <w:vAlign w:val="center"/>
          </w:tcPr>
          <w:p w14:paraId="6AD91C4A">
            <w:pPr>
              <w:snapToGrid w:val="0"/>
              <w:spacing w:line="400" w:lineRule="exact"/>
              <w:ind w:left="840"/>
              <w:jc w:val="center"/>
              <w:rPr>
                <w:rFonts w:hint="eastAsia" w:ascii="仿宋_GB2312" w:hAnsi="仿宋_GB2312" w:eastAsia="仿宋_GB2312" w:cs="仿宋_GB2312"/>
                <w:sz w:val="24"/>
                <w:szCs w:val="24"/>
              </w:rPr>
            </w:pPr>
          </w:p>
        </w:tc>
      </w:tr>
      <w:tr w14:paraId="634B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44" w:type="dxa"/>
            <w:noWrap w:val="0"/>
            <w:vAlign w:val="center"/>
          </w:tcPr>
          <w:p w14:paraId="27397B58">
            <w:pPr>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58" w:type="dxa"/>
            <w:vMerge w:val="continue"/>
            <w:noWrap w:val="0"/>
            <w:vAlign w:val="center"/>
          </w:tcPr>
          <w:p w14:paraId="6FB1F93A">
            <w:pPr>
              <w:snapToGrid w:val="0"/>
              <w:spacing w:line="400" w:lineRule="exact"/>
              <w:ind w:left="0"/>
              <w:jc w:val="left"/>
              <w:rPr>
                <w:rFonts w:hint="eastAsia" w:ascii="仿宋_GB2312" w:hAnsi="仿宋_GB2312" w:eastAsia="仿宋_GB2312" w:cs="仿宋_GB2312"/>
                <w:b/>
                <w:sz w:val="24"/>
                <w:szCs w:val="24"/>
              </w:rPr>
            </w:pPr>
          </w:p>
        </w:tc>
        <w:tc>
          <w:tcPr>
            <w:tcW w:w="4982" w:type="dxa"/>
            <w:shd w:val="clear" w:color="auto" w:fill="auto"/>
            <w:noWrap w:val="0"/>
            <w:vAlign w:val="top"/>
          </w:tcPr>
          <w:p w14:paraId="6C9F7C16">
            <w:pPr>
              <w:pStyle w:val="25"/>
              <w:spacing w:before="228" w:line="400" w:lineRule="exact"/>
              <w:ind w:left="0" w:leftChars="0"/>
              <w:jc w:val="left"/>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投标报价中的报价均不高于招标文件设定的最高投标限价。</w:t>
            </w:r>
          </w:p>
        </w:tc>
        <w:tc>
          <w:tcPr>
            <w:tcW w:w="1467" w:type="dxa"/>
            <w:noWrap w:val="0"/>
            <w:vAlign w:val="center"/>
          </w:tcPr>
          <w:p w14:paraId="3F388E10">
            <w:pPr>
              <w:snapToGrid w:val="0"/>
              <w:spacing w:line="400" w:lineRule="exact"/>
              <w:ind w:left="840"/>
              <w:jc w:val="center"/>
              <w:rPr>
                <w:rFonts w:hint="eastAsia" w:ascii="仿宋_GB2312" w:hAnsi="仿宋_GB2312" w:eastAsia="仿宋_GB2312" w:cs="仿宋_GB2312"/>
                <w:sz w:val="24"/>
                <w:szCs w:val="24"/>
              </w:rPr>
            </w:pPr>
          </w:p>
        </w:tc>
      </w:tr>
      <w:tr w14:paraId="7E2C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44" w:type="dxa"/>
            <w:noWrap w:val="0"/>
            <w:vAlign w:val="center"/>
          </w:tcPr>
          <w:p w14:paraId="17FD44AA">
            <w:pPr>
              <w:snapToGrid w:val="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958" w:type="dxa"/>
            <w:vMerge w:val="continue"/>
            <w:noWrap w:val="0"/>
            <w:vAlign w:val="center"/>
          </w:tcPr>
          <w:p w14:paraId="21090883">
            <w:pPr>
              <w:snapToGrid w:val="0"/>
              <w:spacing w:line="400" w:lineRule="exact"/>
              <w:ind w:left="0"/>
              <w:jc w:val="left"/>
              <w:rPr>
                <w:rFonts w:hint="eastAsia" w:ascii="仿宋_GB2312" w:hAnsi="仿宋_GB2312" w:eastAsia="仿宋_GB2312" w:cs="仿宋_GB2312"/>
                <w:b/>
                <w:sz w:val="24"/>
                <w:szCs w:val="24"/>
              </w:rPr>
            </w:pPr>
          </w:p>
        </w:tc>
        <w:tc>
          <w:tcPr>
            <w:tcW w:w="4982" w:type="dxa"/>
            <w:shd w:val="clear" w:color="auto" w:fill="auto"/>
            <w:noWrap w:val="0"/>
            <w:vAlign w:val="top"/>
          </w:tcPr>
          <w:p w14:paraId="5FCC0A5F">
            <w:pPr>
              <w:pStyle w:val="25"/>
              <w:spacing w:before="231" w:line="400" w:lineRule="exact"/>
              <w:ind w:firstLine="0" w:firstLineChars="0"/>
              <w:jc w:val="left"/>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kern w:val="2"/>
                <w:sz w:val="24"/>
                <w:szCs w:val="24"/>
                <w:lang w:val="en-US" w:eastAsia="zh-CN" w:bidi="ar-SA"/>
              </w:rPr>
              <w:t>投标报价中的报价能确定具体数值。</w:t>
            </w:r>
          </w:p>
        </w:tc>
        <w:tc>
          <w:tcPr>
            <w:tcW w:w="1467" w:type="dxa"/>
            <w:noWrap w:val="0"/>
            <w:vAlign w:val="center"/>
          </w:tcPr>
          <w:p w14:paraId="62C80F7A">
            <w:pPr>
              <w:snapToGrid w:val="0"/>
              <w:spacing w:line="400" w:lineRule="exact"/>
              <w:ind w:left="840"/>
              <w:jc w:val="center"/>
              <w:rPr>
                <w:rFonts w:hint="eastAsia" w:ascii="仿宋_GB2312" w:hAnsi="仿宋_GB2312" w:eastAsia="仿宋_GB2312" w:cs="仿宋_GB2312"/>
                <w:sz w:val="24"/>
                <w:szCs w:val="24"/>
              </w:rPr>
            </w:pPr>
          </w:p>
        </w:tc>
      </w:tr>
      <w:tr w14:paraId="36C0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44" w:type="dxa"/>
            <w:shd w:val="clear" w:color="auto" w:fill="auto"/>
            <w:noWrap w:val="0"/>
            <w:vAlign w:val="center"/>
          </w:tcPr>
          <w:p w14:paraId="6CEC4E4D">
            <w:pPr>
              <w:snapToGrid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w:t>
            </w:r>
          </w:p>
        </w:tc>
        <w:tc>
          <w:tcPr>
            <w:tcW w:w="1958" w:type="dxa"/>
            <w:shd w:val="clear" w:color="auto" w:fill="auto"/>
            <w:noWrap w:val="0"/>
            <w:vAlign w:val="center"/>
          </w:tcPr>
          <w:p w14:paraId="2AEF7DEF">
            <w:pPr>
              <w:snapToGrid w:val="0"/>
              <w:spacing w:line="400" w:lineRule="exact"/>
              <w:ind w:left="0" w:leftChars="0"/>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szCs w:val="24"/>
              </w:rPr>
              <w:t>结论（“通过”或者“不通过”）</w:t>
            </w:r>
          </w:p>
        </w:tc>
        <w:tc>
          <w:tcPr>
            <w:tcW w:w="4982" w:type="dxa"/>
            <w:noWrap w:val="0"/>
            <w:vAlign w:val="center"/>
          </w:tcPr>
          <w:p w14:paraId="36EE1E93">
            <w:pPr>
              <w:snapToGrid w:val="0"/>
              <w:spacing w:line="400" w:lineRule="exact"/>
              <w:ind w:left="840"/>
              <w:jc w:val="center"/>
              <w:rPr>
                <w:rFonts w:hint="eastAsia" w:ascii="仿宋_GB2312" w:hAnsi="仿宋_GB2312" w:eastAsia="仿宋_GB2312" w:cs="仿宋_GB2312"/>
                <w:sz w:val="24"/>
                <w:szCs w:val="24"/>
              </w:rPr>
            </w:pPr>
          </w:p>
        </w:tc>
        <w:tc>
          <w:tcPr>
            <w:tcW w:w="1467" w:type="dxa"/>
            <w:noWrap w:val="0"/>
            <w:vAlign w:val="center"/>
          </w:tcPr>
          <w:p w14:paraId="712B1104">
            <w:pPr>
              <w:snapToGrid w:val="0"/>
              <w:spacing w:line="400" w:lineRule="exact"/>
              <w:ind w:left="840"/>
              <w:jc w:val="center"/>
              <w:rPr>
                <w:rFonts w:hint="eastAsia" w:ascii="仿宋_GB2312" w:hAnsi="仿宋_GB2312" w:eastAsia="仿宋_GB2312" w:cs="仿宋_GB2312"/>
                <w:sz w:val="24"/>
                <w:szCs w:val="24"/>
              </w:rPr>
            </w:pPr>
          </w:p>
        </w:tc>
      </w:tr>
    </w:tbl>
    <w:p w14:paraId="2585DE13">
      <w:pPr>
        <w:spacing w:after="0" w:line="57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谈判</w:t>
      </w:r>
    </w:p>
    <w:p w14:paraId="2D9C4B82">
      <w:pPr>
        <w:spacing w:after="0" w:line="57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评审委员会所有成员集中与单一比选申请人分别进行一轮或多轮谈判，并给予所有参加谈判的比选申请人平等的谈判机会。谈判顺序以随机方式确定。</w:t>
      </w:r>
    </w:p>
    <w:p w14:paraId="4AC0F592">
      <w:pPr>
        <w:spacing w:after="0" w:line="57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谈判过程中，谈判的任何一方不得透露与谈判有关的其他比选申请人的相关资料、价格和其他信息。</w:t>
      </w:r>
    </w:p>
    <w:p w14:paraId="46B92845">
      <w:pPr>
        <w:spacing w:after="0" w:line="57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谈判过程中，评审委员会发现或者知晓比选申请人存在违法、违纪行为的，评审委员会应当有权否决该比选申请人，不允许其提交最终报价。</w:t>
      </w:r>
    </w:p>
    <w:p w14:paraId="5BA15A98">
      <w:pPr>
        <w:spacing w:after="0" w:line="57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（四）最终报价</w:t>
      </w:r>
    </w:p>
    <w:p w14:paraId="671602D6">
      <w:pPr>
        <w:spacing w:after="0" w:line="57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谈判结束后，所有实质性响应的比选申请人在规定时间内提交最终报价表，未提交最终报价表的，其最终报价以比选申请文件报价函为准。且其最终报价不得高于对该项目最高限价，否则，评审委员会应当对其比选申请文件按无效处理。</w:t>
      </w:r>
    </w:p>
    <w:p w14:paraId="38A201D7">
      <w:pPr>
        <w:spacing w:after="0" w:line="57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比选申请人应当保障最终报价表（表格格式详见第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章比选申请文件格式）加盖公章，在谈判结束后由比选申请人的</w:t>
      </w:r>
      <w:r>
        <w:rPr>
          <w:rFonts w:hint="default" w:ascii="Times New Roman" w:hAnsi="Times New Roman" w:eastAsia="仿宋_GB2312" w:cs="Times New Roman"/>
          <w:sz w:val="32"/>
          <w:szCs w:val="32"/>
          <w:highlight w:val="none"/>
          <w:lang w:val="en-US" w:eastAsia="zh-CN"/>
        </w:rPr>
        <w:t>法定代表人</w:t>
      </w:r>
      <w:r>
        <w:rPr>
          <w:rFonts w:hint="default" w:ascii="Times New Roman" w:hAnsi="Times New Roman" w:eastAsia="仿宋_GB2312" w:cs="Times New Roman"/>
          <w:sz w:val="32"/>
          <w:szCs w:val="32"/>
          <w:highlight w:val="none"/>
          <w:lang w:eastAsia="zh-CN"/>
        </w:rPr>
        <w:t>或委托代理人手工填写最终报价。最终报价表是比选申请人比选申请文件的有效组成部分。</w:t>
      </w:r>
    </w:p>
    <w:p w14:paraId="0D6225FF">
      <w:pPr>
        <w:spacing w:after="0" w:line="570" w:lineRule="exact"/>
        <w:ind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最终报价中的算术错误将按以下方法修正：大写金额和小写金额不一致的，以大写金额为准；如果小写、大写金额出现明显文字错误，应当说明澄清。</w:t>
      </w:r>
    </w:p>
    <w:p w14:paraId="3540AC57">
      <w:pPr>
        <w:pStyle w:val="10"/>
        <w:snapToGrid w:val="0"/>
        <w:spacing w:line="57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综合评审（即量化评分）</w:t>
      </w:r>
    </w:p>
    <w:p w14:paraId="10A03CCB">
      <w:pPr>
        <w:pStyle w:val="1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量化评分采用百分制，满分为100分，具体评分细则（详见综合评审量化评审表）。</w:t>
      </w:r>
    </w:p>
    <w:p w14:paraId="357A86E4">
      <w:pPr>
        <w:pStyle w:val="10"/>
        <w:snapToGrid w:val="0"/>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评委会各成员对同一比选申请人的量化评分的算术平均值，即为该比选申请人的最终综合得分。分值保留小数点后两位，第三位小数四舍五入。</w:t>
      </w:r>
    </w:p>
    <w:p w14:paraId="5CBEACCF">
      <w:pPr>
        <w:pStyle w:val="10"/>
        <w:snapToGrid w:val="0"/>
        <w:spacing w:line="560" w:lineRule="exact"/>
        <w:ind w:firstLine="562" w:firstLineChars="200"/>
        <w:rPr>
          <w:rFonts w:hint="default" w:ascii="Times New Roman" w:hAnsi="Times New Roman" w:eastAsia="仿宋_GB2312" w:cs="Times New Roman"/>
          <w:b/>
          <w:sz w:val="28"/>
          <w:szCs w:val="32"/>
          <w:highlight w:val="yellow"/>
        </w:rPr>
      </w:pPr>
    </w:p>
    <w:p w14:paraId="09368CD8">
      <w:pPr>
        <w:snapToGrid/>
        <w:spacing w:before="0" w:beforeLines="0" w:after="157" w:afterLines="50" w:line="240" w:lineRule="atLeast"/>
        <w:jc w:val="center"/>
        <w:rPr>
          <w:rFonts w:hint="default" w:ascii="Times New Roman" w:hAnsi="Times New Roman" w:eastAsia="仿宋_GB2312" w:cs="Times New Roman"/>
          <w:b/>
          <w:sz w:val="28"/>
          <w:szCs w:val="32"/>
          <w:highlight w:val="none"/>
        </w:rPr>
      </w:pPr>
      <w:r>
        <w:rPr>
          <w:rFonts w:hint="default" w:ascii="Times New Roman" w:hAnsi="Times New Roman" w:eastAsia="仿宋_GB2312" w:cs="Times New Roman"/>
          <w:b/>
          <w:sz w:val="32"/>
          <w:szCs w:val="36"/>
          <w:highlight w:val="none"/>
        </w:rPr>
        <w:t>综合评审量化评审表</w:t>
      </w:r>
    </w:p>
    <w:tbl>
      <w:tblPr>
        <w:tblStyle w:val="17"/>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305"/>
        <w:gridCol w:w="945"/>
        <w:gridCol w:w="5636"/>
        <w:gridCol w:w="846"/>
      </w:tblGrid>
      <w:tr w14:paraId="61A8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41063394">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E3EE0D9">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0FF1D34">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6B536522">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评分标准</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104B623F">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得分</w:t>
            </w:r>
          </w:p>
        </w:tc>
      </w:tr>
      <w:tr w14:paraId="579B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486" w:type="dxa"/>
            <w:noWrap w:val="0"/>
            <w:vAlign w:val="center"/>
          </w:tcPr>
          <w:p w14:paraId="561C7DC1">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1</w:t>
            </w:r>
          </w:p>
        </w:tc>
        <w:tc>
          <w:tcPr>
            <w:tcW w:w="1305" w:type="dxa"/>
            <w:noWrap w:val="0"/>
            <w:vAlign w:val="center"/>
          </w:tcPr>
          <w:p w14:paraId="712F0832">
            <w:pPr>
              <w:snapToGrid w:val="0"/>
              <w:spacing w:line="380" w:lineRule="exact"/>
              <w:ind w:firstLine="0"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评级费用</w:t>
            </w:r>
          </w:p>
        </w:tc>
        <w:tc>
          <w:tcPr>
            <w:tcW w:w="945" w:type="dxa"/>
            <w:noWrap w:val="0"/>
            <w:vAlign w:val="center"/>
          </w:tcPr>
          <w:p w14:paraId="6DCE34AD">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20</w:t>
            </w:r>
            <w:r>
              <w:rPr>
                <w:rFonts w:hint="eastAsia" w:ascii="仿宋_GB2312" w:hAnsi="仿宋_GB2312" w:eastAsia="仿宋_GB2312" w:cs="仿宋_GB2312"/>
                <w:b/>
                <w:sz w:val="24"/>
                <w:szCs w:val="24"/>
              </w:rPr>
              <w:t>分</w:t>
            </w:r>
          </w:p>
        </w:tc>
        <w:tc>
          <w:tcPr>
            <w:tcW w:w="5636" w:type="dxa"/>
            <w:noWrap w:val="0"/>
            <w:vAlign w:val="center"/>
          </w:tcPr>
          <w:p w14:paraId="6360E351">
            <w:pPr>
              <w:snapToGrid w:val="0"/>
              <w:spacing w:line="38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经评审，通过资格性和符合性审查的各比选申请人报价的算术平均价作为评审基准价：比选报价等于评审基准价，得20分；比选报价每高于基准价1%扣1分，每低于基准价1%扣0.5分，按偏差率计算扣分。</w:t>
            </w:r>
          </w:p>
        </w:tc>
        <w:tc>
          <w:tcPr>
            <w:tcW w:w="846" w:type="dxa"/>
            <w:noWrap w:val="0"/>
            <w:vAlign w:val="center"/>
          </w:tcPr>
          <w:p w14:paraId="34A92A1C">
            <w:pPr>
              <w:snapToGrid w:val="0"/>
              <w:spacing w:line="380" w:lineRule="exact"/>
              <w:ind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0-</w:t>
            </w:r>
            <w:r>
              <w:rPr>
                <w:rFonts w:hint="eastAsia" w:ascii="仿宋_GB2312" w:hAnsi="仿宋_GB2312" w:eastAsia="仿宋_GB2312" w:cs="仿宋_GB2312"/>
                <w:b/>
                <w:sz w:val="24"/>
                <w:szCs w:val="24"/>
                <w:lang w:val="en-US" w:eastAsia="zh-CN"/>
              </w:rPr>
              <w:t>20</w:t>
            </w:r>
          </w:p>
        </w:tc>
      </w:tr>
      <w:tr w14:paraId="2511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5" w:hRule="atLeast"/>
          <w:jc w:val="center"/>
        </w:trPr>
        <w:tc>
          <w:tcPr>
            <w:tcW w:w="486" w:type="dxa"/>
            <w:noWrap w:val="0"/>
            <w:vAlign w:val="center"/>
          </w:tcPr>
          <w:p w14:paraId="5AEA2D23">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w:t>
            </w:r>
          </w:p>
        </w:tc>
        <w:tc>
          <w:tcPr>
            <w:tcW w:w="1305" w:type="dxa"/>
            <w:noWrap w:val="0"/>
            <w:vAlign w:val="center"/>
          </w:tcPr>
          <w:p w14:paraId="41A4CFAE">
            <w:pPr>
              <w:snapToGrid w:val="0"/>
              <w:spacing w:line="380" w:lineRule="exact"/>
              <w:ind w:firstLine="0" w:firstLineChars="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团队专业性</w:t>
            </w:r>
          </w:p>
        </w:tc>
        <w:tc>
          <w:tcPr>
            <w:tcW w:w="945" w:type="dxa"/>
            <w:noWrap w:val="0"/>
            <w:vAlign w:val="center"/>
          </w:tcPr>
          <w:p w14:paraId="1474D003">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15</w:t>
            </w:r>
            <w:r>
              <w:rPr>
                <w:rFonts w:hint="eastAsia" w:ascii="仿宋_GB2312" w:hAnsi="仿宋_GB2312" w:eastAsia="仿宋_GB2312" w:cs="仿宋_GB2312"/>
                <w:b/>
                <w:sz w:val="24"/>
                <w:szCs w:val="24"/>
              </w:rPr>
              <w:t>分</w:t>
            </w:r>
          </w:p>
        </w:tc>
        <w:tc>
          <w:tcPr>
            <w:tcW w:w="5636" w:type="dxa"/>
            <w:noWrap w:val="0"/>
            <w:vAlign w:val="center"/>
          </w:tcPr>
          <w:p w14:paraId="5DA4761C">
            <w:pPr>
              <w:numPr>
                <w:ilvl w:val="-1"/>
                <w:numId w:val="0"/>
              </w:numPr>
              <w:snapToGrid w:val="0"/>
              <w:spacing w:line="380" w:lineRule="exact"/>
              <w:ind w:firstLine="0" w:firstLineChars="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根据团队成员构成、工作履历、项目经验等情况进行综合评分：</w:t>
            </w:r>
          </w:p>
          <w:p w14:paraId="7164B2F0">
            <w:pPr>
              <w:numPr>
                <w:ilvl w:val="-1"/>
                <w:numId w:val="0"/>
              </w:numPr>
              <w:snapToGrid w:val="0"/>
              <w:spacing w:line="380" w:lineRule="exact"/>
              <w:ind w:firstLine="0" w:firstLineChars="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1.执行团队负责人行业经验：团队负责人</w:t>
            </w:r>
            <w:r>
              <w:rPr>
                <w:rFonts w:hint="eastAsia" w:ascii="仿宋_GB2312" w:hAnsi="仿宋_GB2312" w:eastAsia="仿宋_GB2312" w:cs="仿宋_GB2312"/>
                <w:sz w:val="24"/>
                <w:szCs w:val="24"/>
                <w:highlight w:val="none"/>
              </w:rPr>
              <w:t>2024年</w:t>
            </w:r>
            <w:r>
              <w:rPr>
                <w:rFonts w:hint="eastAsia" w:ascii="仿宋_GB2312" w:hAnsi="仿宋_GB2312" w:eastAsia="仿宋_GB2312" w:cs="仿宋_GB2312"/>
                <w:sz w:val="24"/>
                <w:szCs w:val="24"/>
                <w:highlight w:val="none"/>
                <w:lang w:val="en-US" w:eastAsia="zh-CN"/>
              </w:rPr>
              <w:t>至比选文件递交当日前</w:t>
            </w:r>
            <w:r>
              <w:rPr>
                <w:rFonts w:hint="eastAsia" w:ascii="仿宋_GB2312" w:hAnsi="仿宋_GB2312" w:eastAsia="仿宋_GB2312" w:cs="仿宋_GB2312"/>
                <w:sz w:val="24"/>
                <w:szCs w:val="24"/>
                <w:highlight w:val="none"/>
              </w:rPr>
              <w:t>承做的</w:t>
            </w:r>
            <w:r>
              <w:rPr>
                <w:rFonts w:hint="eastAsia" w:eastAsia="仿宋_GB2312" w:cs="Times New Roman"/>
                <w:sz w:val="24"/>
                <w:szCs w:val="24"/>
                <w:highlight w:val="none"/>
                <w:lang w:val="en-US" w:eastAsia="zh-CN"/>
              </w:rPr>
              <w:t>非</w:t>
            </w:r>
            <w:r>
              <w:rPr>
                <w:rFonts w:hint="eastAsia" w:ascii="仿宋_GB2312" w:hAnsi="仿宋_GB2312" w:eastAsia="仿宋_GB2312" w:cs="仿宋_GB2312"/>
                <w:sz w:val="24"/>
                <w:szCs w:val="24"/>
                <w:highlight w:val="none"/>
                <w:lang w:val="en-US" w:eastAsia="zh-CN"/>
              </w:rPr>
              <w:t>金类</w:t>
            </w:r>
            <w:r>
              <w:rPr>
                <w:rFonts w:hint="eastAsia" w:ascii="仿宋_GB2312" w:hAnsi="仿宋_GB2312" w:eastAsia="仿宋_GB2312" w:cs="仿宋_GB2312"/>
                <w:sz w:val="24"/>
                <w:szCs w:val="24"/>
                <w:highlight w:val="none"/>
              </w:rPr>
              <w:t>主体信用评级项目</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每提供1个项目业绩得1分，本项最多得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分；无相关</w:t>
            </w:r>
            <w:r>
              <w:rPr>
                <w:rFonts w:hint="eastAsia" w:ascii="仿宋_GB2312" w:hAnsi="仿宋_GB2312" w:eastAsia="仿宋_GB2312" w:cs="仿宋_GB2312"/>
                <w:sz w:val="24"/>
                <w:szCs w:val="24"/>
                <w:highlight w:val="none"/>
                <w:lang w:val="en-US" w:eastAsia="zh-CN"/>
              </w:rPr>
              <w:t>业绩</w:t>
            </w:r>
            <w:r>
              <w:rPr>
                <w:rFonts w:hint="eastAsia" w:ascii="仿宋_GB2312" w:hAnsi="仿宋_GB2312" w:eastAsia="仿宋_GB2312" w:cs="仿宋_GB2312"/>
                <w:sz w:val="24"/>
                <w:szCs w:val="24"/>
                <w:highlight w:val="none"/>
              </w:rPr>
              <w:t>的不得分。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注：需提供</w:t>
            </w:r>
            <w:r>
              <w:rPr>
                <w:rFonts w:hint="eastAsia" w:ascii="仿宋_GB2312" w:hAnsi="仿宋_GB2312" w:eastAsia="仿宋_GB2312" w:cs="仿宋_GB2312"/>
                <w:sz w:val="24"/>
                <w:szCs w:val="24"/>
                <w:highlight w:val="none"/>
                <w:lang w:val="en-US" w:eastAsia="zh-CN"/>
              </w:rPr>
              <w:t>评级报告相应</w:t>
            </w:r>
            <w:r>
              <w:rPr>
                <w:rFonts w:hint="eastAsia" w:ascii="仿宋_GB2312" w:hAnsi="仿宋_GB2312" w:eastAsia="仿宋_GB2312" w:cs="仿宋_GB2312"/>
                <w:sz w:val="24"/>
                <w:szCs w:val="24"/>
                <w:highlight w:val="none"/>
              </w:rPr>
              <w:t>页予以证明，时间以</w:t>
            </w:r>
            <w:r>
              <w:rPr>
                <w:rFonts w:hint="eastAsia" w:ascii="仿宋_GB2312" w:hAnsi="仿宋_GB2312" w:eastAsia="仿宋_GB2312" w:cs="仿宋_GB2312"/>
                <w:sz w:val="24"/>
                <w:szCs w:val="24"/>
                <w:highlight w:val="none"/>
                <w:lang w:val="en-US" w:eastAsia="zh-CN"/>
              </w:rPr>
              <w:t>报告</w:t>
            </w:r>
            <w:r>
              <w:rPr>
                <w:rFonts w:hint="eastAsia" w:ascii="仿宋_GB2312" w:hAnsi="仿宋_GB2312" w:eastAsia="仿宋_GB2312" w:cs="仿宋_GB2312"/>
                <w:sz w:val="24"/>
                <w:szCs w:val="24"/>
                <w:highlight w:val="none"/>
              </w:rPr>
              <w:t>签署日为准。</w:t>
            </w:r>
            <w:r>
              <w:rPr>
                <w:rFonts w:hint="eastAsia" w:ascii="仿宋_GB2312" w:hAnsi="仿宋_GB2312" w:eastAsia="仿宋_GB2312" w:cs="仿宋_GB2312"/>
                <w:sz w:val="24"/>
                <w:szCs w:val="24"/>
                <w:highlight w:val="none"/>
                <w:lang w:eastAsia="zh-CN"/>
              </w:rPr>
              <w:t>）</w:t>
            </w:r>
          </w:p>
          <w:p w14:paraId="22D4290C">
            <w:pPr>
              <w:numPr>
                <w:ilvl w:val="-1"/>
                <w:numId w:val="0"/>
              </w:numPr>
              <w:snapToGrid w:val="0"/>
              <w:spacing w:line="380" w:lineRule="exact"/>
              <w:ind w:firstLine="0" w:firstLineChars="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其他执行团队人员：团队人员超过3人(含3人)且均具有3年以上（含3年）项目经验，得5分；团队人员超过3人（含3人）但不都具有3年以上（含3年）项目经验，得4分；团队成员2人且均具有3年以上（含3年）项目经验，得3分；团队成员2人，但不都具有3年以上（含3年）项目经验，得2分；团队成员少于2人或未配置得0分。（注：提供相关佐证材料并加盖公章，包括但不限于劳动合同、内部人力资源系统截图）</w:t>
            </w:r>
          </w:p>
        </w:tc>
        <w:tc>
          <w:tcPr>
            <w:tcW w:w="846" w:type="dxa"/>
            <w:noWrap w:val="0"/>
            <w:vAlign w:val="center"/>
          </w:tcPr>
          <w:p w14:paraId="0E8E4936">
            <w:pPr>
              <w:snapToGrid w:val="0"/>
              <w:spacing w:line="380" w:lineRule="exact"/>
              <w:ind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0-</w:t>
            </w:r>
            <w:r>
              <w:rPr>
                <w:rFonts w:hint="eastAsia" w:ascii="仿宋_GB2312" w:hAnsi="仿宋_GB2312" w:eastAsia="仿宋_GB2312" w:cs="仿宋_GB2312"/>
                <w:b/>
                <w:sz w:val="24"/>
                <w:szCs w:val="24"/>
                <w:lang w:val="en-US" w:eastAsia="zh-CN"/>
              </w:rPr>
              <w:t>15</w:t>
            </w:r>
          </w:p>
        </w:tc>
      </w:tr>
      <w:tr w14:paraId="56F0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6" w:hRule="atLeast"/>
          <w:jc w:val="center"/>
        </w:trPr>
        <w:tc>
          <w:tcPr>
            <w:tcW w:w="486" w:type="dxa"/>
            <w:noWrap w:val="0"/>
            <w:vAlign w:val="center"/>
          </w:tcPr>
          <w:p w14:paraId="1D3EAD2F">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w:t>
            </w:r>
          </w:p>
        </w:tc>
        <w:tc>
          <w:tcPr>
            <w:tcW w:w="1305" w:type="dxa"/>
            <w:noWrap w:val="0"/>
            <w:vAlign w:val="center"/>
          </w:tcPr>
          <w:p w14:paraId="300907EA">
            <w:pPr>
              <w:snapToGrid w:val="0"/>
              <w:spacing w:line="380" w:lineRule="exact"/>
              <w:ind w:firstLine="0" w:firstLineChars="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类似业绩</w:t>
            </w:r>
          </w:p>
        </w:tc>
        <w:tc>
          <w:tcPr>
            <w:tcW w:w="945" w:type="dxa"/>
            <w:noWrap w:val="0"/>
            <w:vAlign w:val="center"/>
          </w:tcPr>
          <w:p w14:paraId="2D162588">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20</w:t>
            </w:r>
            <w:r>
              <w:rPr>
                <w:rFonts w:hint="eastAsia" w:ascii="仿宋_GB2312" w:hAnsi="仿宋_GB2312" w:eastAsia="仿宋_GB2312" w:cs="仿宋_GB2312"/>
                <w:b/>
                <w:sz w:val="24"/>
                <w:szCs w:val="24"/>
              </w:rPr>
              <w:t>分</w:t>
            </w:r>
          </w:p>
        </w:tc>
        <w:tc>
          <w:tcPr>
            <w:tcW w:w="5636" w:type="dxa"/>
            <w:noWrap w:val="0"/>
            <w:vAlign w:val="center"/>
          </w:tcPr>
          <w:p w14:paraId="6F81A0CC">
            <w:pPr>
              <w:numPr>
                <w:ilvl w:val="-1"/>
                <w:numId w:val="0"/>
              </w:numPr>
              <w:snapToGrid w:val="0"/>
              <w:spacing w:line="3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2024年1月1日至2025年8月31日（以在“中国货币网”上公布评级报告日期为准），比选申请人全国范围内主体评级项目承揽数量（需提供“中国货币网”查询相关截图并加盖公章），</w:t>
            </w:r>
            <w:r>
              <w:rPr>
                <w:rFonts w:hint="eastAsia" w:ascii="仿宋_GB2312" w:hAnsi="仿宋_GB2312" w:eastAsia="仿宋_GB2312" w:cs="仿宋_GB2312"/>
                <w:sz w:val="24"/>
                <w:szCs w:val="24"/>
                <w:highlight w:val="none"/>
                <w:lang w:val="en-US" w:eastAsia="zh-CN"/>
              </w:rPr>
              <w:t>在所有比选申请人中，</w:t>
            </w:r>
            <w:r>
              <w:rPr>
                <w:rFonts w:hint="eastAsia" w:ascii="仿宋_GB2312" w:hAnsi="仿宋_GB2312" w:eastAsia="仿宋_GB2312" w:cs="仿宋_GB2312"/>
                <w:sz w:val="24"/>
                <w:szCs w:val="24"/>
                <w:highlight w:val="none"/>
              </w:rPr>
              <w:t>第一名得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分，第二名得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分，第三名得</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分，以此类推</w:t>
            </w:r>
            <w:r>
              <w:rPr>
                <w:rFonts w:hint="eastAsia" w:ascii="仿宋_GB2312" w:hAnsi="仿宋_GB2312" w:eastAsia="仿宋_GB2312" w:cs="仿宋_GB2312"/>
                <w:sz w:val="24"/>
                <w:szCs w:val="24"/>
                <w:highlight w:val="none"/>
                <w:lang w:eastAsia="zh-CN"/>
              </w:rPr>
              <w:t>。</w:t>
            </w:r>
          </w:p>
          <w:p w14:paraId="52AA3F81">
            <w:pPr>
              <w:numPr>
                <w:ilvl w:val="-1"/>
                <w:numId w:val="0"/>
              </w:numPr>
              <w:snapToGrid w:val="0"/>
              <w:spacing w:line="38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注：排名以相对排名为准，查询</w:t>
            </w:r>
            <w:r>
              <w:rPr>
                <w:rFonts w:hint="eastAsia" w:ascii="仿宋_GB2312" w:hAnsi="仿宋_GB2312" w:eastAsia="仿宋_GB2312" w:cs="仿宋_GB2312"/>
                <w:sz w:val="24"/>
                <w:szCs w:val="24"/>
                <w:highlight w:val="none"/>
              </w:rPr>
              <w:t>路径：中国货币</w:t>
            </w:r>
            <w:r>
              <w:rPr>
                <w:rFonts w:hint="eastAsia" w:ascii="仿宋_GB2312" w:hAnsi="仿宋_GB2312" w:eastAsia="仿宋_GB2312" w:cs="仿宋_GB2312"/>
                <w:sz w:val="24"/>
                <w:szCs w:val="24"/>
                <w:highlight w:val="none"/>
                <w:lang w:val="en-US" w:eastAsia="zh-CN"/>
              </w:rPr>
              <w:t>网</w:t>
            </w:r>
            <w:r>
              <w:rPr>
                <w:rFonts w:hint="eastAsia" w:ascii="仿宋_GB2312" w:hAnsi="仿宋_GB2312" w:eastAsia="仿宋_GB2312" w:cs="仿宋_GB2312"/>
                <w:sz w:val="24"/>
                <w:szCs w:val="24"/>
                <w:highlight w:val="none"/>
              </w:rPr>
              <w:t>https://www.chinamoney.com.cn/chinese/index.html）-披露-评级报告-主体评级报告-更多，按照日期和评级公司筛选。</w:t>
            </w:r>
          </w:p>
          <w:p w14:paraId="4F79FF99">
            <w:pPr>
              <w:numPr>
                <w:ilvl w:val="0"/>
                <w:numId w:val="0"/>
              </w:numPr>
              <w:snapToGrid w:val="0"/>
              <w:spacing w:line="380" w:lineRule="exact"/>
              <w:ind w:firstLine="0" w:firstLineChars="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2024年</w:t>
            </w:r>
            <w:r>
              <w:rPr>
                <w:rFonts w:hint="eastAsia" w:ascii="仿宋_GB2312" w:hAnsi="仿宋_GB2312" w:eastAsia="仿宋_GB2312" w:cs="仿宋_GB2312"/>
                <w:sz w:val="24"/>
                <w:szCs w:val="24"/>
                <w:highlight w:val="none"/>
                <w:lang w:val="en-US" w:eastAsia="zh-CN"/>
              </w:rPr>
              <w:t>至比选文件递交当日前</w:t>
            </w:r>
            <w:r>
              <w:rPr>
                <w:rFonts w:hint="eastAsia" w:ascii="仿宋_GB2312" w:hAnsi="仿宋_GB2312" w:eastAsia="仿宋_GB2312" w:cs="仿宋_GB2312"/>
                <w:sz w:val="24"/>
                <w:szCs w:val="24"/>
                <w:highlight w:val="none"/>
              </w:rPr>
              <w:t>承做的四川省属国有企业主体信用评级项目案例进行评分，每提供1个项目业绩得1分，本项最多得10分；无相关业务的不得分。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注：需提供相应合同首末页予以证明，时间以合同签署日为准。</w:t>
            </w:r>
            <w:r>
              <w:rPr>
                <w:rFonts w:hint="eastAsia" w:ascii="仿宋_GB2312" w:hAnsi="仿宋_GB2312" w:eastAsia="仿宋_GB2312" w:cs="仿宋_GB2312"/>
                <w:sz w:val="24"/>
                <w:szCs w:val="24"/>
                <w:highlight w:val="none"/>
                <w:lang w:eastAsia="zh-CN"/>
              </w:rPr>
              <w:t>）</w:t>
            </w:r>
          </w:p>
          <w:p w14:paraId="0202D0E5">
            <w:pPr>
              <w:numPr>
                <w:ilvl w:val="0"/>
                <w:numId w:val="0"/>
              </w:numPr>
              <w:snapToGrid w:val="0"/>
              <w:spacing w:line="380" w:lineRule="exact"/>
              <w:ind w:firstLine="0" w:firstLineChars="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3.2024年1月1日-2024年12月31日，由比选申请人承做公开发行的非金类公司债券发行规模。在所有比选申请人中，发行规模排名第一名的比选申请人得4分，第二名得3分，第三名得2分，以此类推，扣完为止。（</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注：排名以相对排名为准，提供Wind数据库截图并加盖公章。）</w:t>
            </w:r>
          </w:p>
        </w:tc>
        <w:tc>
          <w:tcPr>
            <w:tcW w:w="846" w:type="dxa"/>
            <w:noWrap w:val="0"/>
            <w:vAlign w:val="center"/>
          </w:tcPr>
          <w:p w14:paraId="6BF6EB72">
            <w:pPr>
              <w:snapToGrid w:val="0"/>
              <w:spacing w:line="380" w:lineRule="exact"/>
              <w:ind w:firstLine="0" w:firstLineChars="0"/>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0-</w:t>
            </w:r>
            <w:r>
              <w:rPr>
                <w:rFonts w:hint="eastAsia" w:ascii="仿宋_GB2312" w:hAnsi="仿宋_GB2312" w:eastAsia="仿宋_GB2312" w:cs="仿宋_GB2312"/>
                <w:b/>
                <w:sz w:val="24"/>
                <w:szCs w:val="24"/>
                <w:lang w:val="en-US" w:eastAsia="zh-CN"/>
              </w:rPr>
              <w:t>20</w:t>
            </w:r>
          </w:p>
        </w:tc>
      </w:tr>
      <w:tr w14:paraId="7DF6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5" w:hRule="atLeast"/>
          <w:jc w:val="center"/>
        </w:trPr>
        <w:tc>
          <w:tcPr>
            <w:tcW w:w="486" w:type="dxa"/>
            <w:noWrap w:val="0"/>
            <w:vAlign w:val="center"/>
          </w:tcPr>
          <w:p w14:paraId="6C9907CF">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4</w:t>
            </w:r>
          </w:p>
        </w:tc>
        <w:tc>
          <w:tcPr>
            <w:tcW w:w="1305" w:type="dxa"/>
            <w:noWrap w:val="0"/>
            <w:vAlign w:val="center"/>
          </w:tcPr>
          <w:p w14:paraId="173765C9">
            <w:pPr>
              <w:snapToGrid w:val="0"/>
              <w:spacing w:line="380" w:lineRule="exact"/>
              <w:ind w:firstLine="0"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评级方案</w:t>
            </w:r>
          </w:p>
        </w:tc>
        <w:tc>
          <w:tcPr>
            <w:tcW w:w="945" w:type="dxa"/>
            <w:noWrap w:val="0"/>
            <w:vAlign w:val="center"/>
          </w:tcPr>
          <w:p w14:paraId="3C077C4B">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40</w:t>
            </w:r>
            <w:r>
              <w:rPr>
                <w:rFonts w:hint="eastAsia" w:ascii="仿宋_GB2312" w:hAnsi="仿宋_GB2312" w:eastAsia="仿宋_GB2312" w:cs="仿宋_GB2312"/>
                <w:b/>
                <w:sz w:val="24"/>
                <w:szCs w:val="24"/>
              </w:rPr>
              <w:t>分</w:t>
            </w:r>
          </w:p>
        </w:tc>
        <w:tc>
          <w:tcPr>
            <w:tcW w:w="5636" w:type="dxa"/>
            <w:noWrap w:val="0"/>
            <w:vAlign w:val="center"/>
          </w:tcPr>
          <w:p w14:paraId="35A6B62F">
            <w:pPr>
              <w:snapToGrid w:val="0"/>
              <w:spacing w:line="38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根据比选申请人提供信用评级方案，从方案内容详尽程度、流程规划完整程度、契合项目实际情况能否有效实施、信用评级方案步骤是否明确，现场访谈计划是否清晰进行综合评定，方案包括但不限于评级工作程序、评级方法、访谈提纲、信用评级资料清单等内容。(方案清晰详细可行30-40分（含40分），方案基本满足要求20-30分（含30分），方案不清晰具体难以实施0-20分（含20分）)。     </w:t>
            </w:r>
          </w:p>
        </w:tc>
        <w:tc>
          <w:tcPr>
            <w:tcW w:w="846" w:type="dxa"/>
            <w:noWrap w:val="0"/>
            <w:vAlign w:val="center"/>
          </w:tcPr>
          <w:p w14:paraId="775AEE23">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0-</w:t>
            </w:r>
            <w:r>
              <w:rPr>
                <w:rFonts w:hint="eastAsia" w:ascii="仿宋_GB2312" w:hAnsi="仿宋_GB2312" w:eastAsia="仿宋_GB2312" w:cs="仿宋_GB2312"/>
                <w:b/>
                <w:sz w:val="24"/>
                <w:szCs w:val="24"/>
                <w:lang w:val="en-US" w:eastAsia="zh-CN"/>
              </w:rPr>
              <w:t>40</w:t>
            </w:r>
          </w:p>
        </w:tc>
      </w:tr>
      <w:tr w14:paraId="1D05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86" w:type="dxa"/>
            <w:noWrap w:val="0"/>
            <w:vAlign w:val="center"/>
          </w:tcPr>
          <w:p w14:paraId="4E5E11DD">
            <w:pPr>
              <w:snapToGrid w:val="0"/>
              <w:spacing w:line="380" w:lineRule="exact"/>
              <w:ind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5</w:t>
            </w:r>
          </w:p>
        </w:tc>
        <w:tc>
          <w:tcPr>
            <w:tcW w:w="1305" w:type="dxa"/>
            <w:noWrap w:val="0"/>
            <w:vAlign w:val="center"/>
          </w:tcPr>
          <w:p w14:paraId="47E4BCFF">
            <w:pPr>
              <w:snapToGrid w:val="0"/>
              <w:spacing w:line="380" w:lineRule="exact"/>
              <w:ind w:firstLine="0" w:firstLineChars="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增值服务</w:t>
            </w:r>
          </w:p>
        </w:tc>
        <w:tc>
          <w:tcPr>
            <w:tcW w:w="945" w:type="dxa"/>
            <w:noWrap w:val="0"/>
            <w:vAlign w:val="center"/>
          </w:tcPr>
          <w:p w14:paraId="1B496934">
            <w:pPr>
              <w:snapToGrid w:val="0"/>
              <w:spacing w:line="380" w:lineRule="exact"/>
              <w:ind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5分</w:t>
            </w:r>
          </w:p>
        </w:tc>
        <w:tc>
          <w:tcPr>
            <w:tcW w:w="5636" w:type="dxa"/>
            <w:noWrap w:val="0"/>
            <w:vAlign w:val="center"/>
          </w:tcPr>
          <w:p w14:paraId="4DAAE497">
            <w:pPr>
              <w:numPr>
                <w:ilvl w:val="0"/>
                <w:numId w:val="0"/>
              </w:numPr>
              <w:snapToGrid w:val="0"/>
              <w:spacing w:line="38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比选申请人</w:t>
            </w:r>
            <w:r>
              <w:rPr>
                <w:rFonts w:hint="eastAsia" w:ascii="仿宋_GB2312" w:hAnsi="仿宋_GB2312" w:eastAsia="仿宋_GB2312" w:cs="仿宋_GB2312"/>
                <w:sz w:val="24"/>
                <w:szCs w:val="24"/>
                <w:highlight w:val="none"/>
              </w:rPr>
              <w:t>承诺为比选人提供</w:t>
            </w:r>
            <w:r>
              <w:rPr>
                <w:rFonts w:hint="eastAsia" w:ascii="仿宋_GB2312" w:hAnsi="仿宋_GB2312" w:eastAsia="仿宋_GB2312" w:cs="仿宋_GB2312"/>
                <w:sz w:val="24"/>
                <w:szCs w:val="24"/>
                <w:highlight w:val="none"/>
                <w:lang w:val="en-US" w:eastAsia="zh-CN"/>
              </w:rPr>
              <w:t>相关业务培训（宏观经济、行业信用评级方法、行业风险等），信用风险研究成果</w:t>
            </w:r>
            <w:bookmarkStart w:id="1100" w:name="_GoBack"/>
            <w:bookmarkEnd w:id="1100"/>
            <w:r>
              <w:rPr>
                <w:rFonts w:hint="eastAsia" w:ascii="仿宋_GB2312" w:hAnsi="仿宋_GB2312" w:eastAsia="仿宋_GB2312" w:cs="仿宋_GB2312"/>
                <w:sz w:val="24"/>
                <w:szCs w:val="24"/>
                <w:highlight w:val="none"/>
                <w:lang w:val="en-US" w:eastAsia="zh-CN"/>
              </w:rPr>
              <w:t>分享，各类专题论坛和研讨会等增值服务，</w:t>
            </w:r>
            <w:r>
              <w:rPr>
                <w:rFonts w:hint="eastAsia" w:ascii="仿宋_GB2312" w:hAnsi="仿宋_GB2312" w:eastAsia="仿宋_GB2312" w:cs="仿宋_GB2312"/>
                <w:sz w:val="24"/>
                <w:szCs w:val="24"/>
                <w:highlight w:val="none"/>
              </w:rPr>
              <w:t>评委会根据提供增值服务情况酌情打分，未承诺提供增值服务不得分</w:t>
            </w:r>
            <w:r>
              <w:rPr>
                <w:rFonts w:hint="eastAsia" w:ascii="仿宋_GB2312" w:hAnsi="仿宋_GB2312" w:eastAsia="仿宋_GB2312" w:cs="仿宋_GB2312"/>
                <w:sz w:val="24"/>
                <w:szCs w:val="24"/>
                <w:highlight w:val="none"/>
                <w:lang w:val="en-US" w:eastAsia="zh-CN"/>
              </w:rPr>
              <w:t>。</w:t>
            </w:r>
          </w:p>
        </w:tc>
        <w:tc>
          <w:tcPr>
            <w:tcW w:w="846" w:type="dxa"/>
            <w:noWrap w:val="0"/>
            <w:vAlign w:val="center"/>
          </w:tcPr>
          <w:p w14:paraId="40A14022">
            <w:pPr>
              <w:snapToGrid w:val="0"/>
              <w:spacing w:line="380" w:lineRule="exact"/>
              <w:ind w:firstLine="0" w:firstLineChars="0"/>
              <w:jc w:val="center"/>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0-5</w:t>
            </w:r>
          </w:p>
        </w:tc>
      </w:tr>
      <w:tr w14:paraId="581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91" w:type="dxa"/>
            <w:gridSpan w:val="2"/>
            <w:noWrap w:val="0"/>
            <w:vAlign w:val="center"/>
          </w:tcPr>
          <w:p w14:paraId="785A84EE">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合计</w:t>
            </w:r>
          </w:p>
        </w:tc>
        <w:tc>
          <w:tcPr>
            <w:tcW w:w="945" w:type="dxa"/>
            <w:noWrap w:val="0"/>
            <w:vAlign w:val="center"/>
          </w:tcPr>
          <w:p w14:paraId="65CA4A52">
            <w:pPr>
              <w:snapToGrid w:val="0"/>
              <w:spacing w:line="380" w:lineRule="exact"/>
              <w:ind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100分</w:t>
            </w:r>
          </w:p>
        </w:tc>
        <w:tc>
          <w:tcPr>
            <w:tcW w:w="5636" w:type="dxa"/>
            <w:noWrap w:val="0"/>
            <w:vAlign w:val="center"/>
          </w:tcPr>
          <w:p w14:paraId="01806431">
            <w:pPr>
              <w:snapToGrid w:val="0"/>
              <w:spacing w:line="380" w:lineRule="exact"/>
              <w:ind w:firstLine="0" w:firstLineChars="0"/>
              <w:rPr>
                <w:rFonts w:hint="eastAsia" w:ascii="仿宋_GB2312" w:hAnsi="仿宋_GB2312" w:eastAsia="仿宋_GB2312" w:cs="仿宋_GB2312"/>
                <w:sz w:val="24"/>
                <w:szCs w:val="24"/>
                <w:highlight w:val="none"/>
              </w:rPr>
            </w:pPr>
          </w:p>
        </w:tc>
        <w:tc>
          <w:tcPr>
            <w:tcW w:w="846" w:type="dxa"/>
            <w:noWrap w:val="0"/>
            <w:vAlign w:val="center"/>
          </w:tcPr>
          <w:p w14:paraId="1558D262">
            <w:pPr>
              <w:snapToGrid w:val="0"/>
              <w:spacing w:line="380" w:lineRule="exact"/>
              <w:ind w:firstLine="0" w:firstLineChars="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0-10</w:t>
            </w:r>
            <w:r>
              <w:rPr>
                <w:rFonts w:hint="eastAsia" w:ascii="仿宋_GB2312" w:hAnsi="仿宋_GB2312" w:eastAsia="仿宋_GB2312" w:cs="仿宋_GB2312"/>
                <w:b/>
                <w:sz w:val="24"/>
                <w:szCs w:val="24"/>
                <w:lang w:val="en-US" w:eastAsia="zh-CN"/>
              </w:rPr>
              <w:t>0</w:t>
            </w:r>
          </w:p>
        </w:tc>
      </w:tr>
    </w:tbl>
    <w:p w14:paraId="5E950351">
      <w:pPr>
        <w:keepNext w:val="0"/>
        <w:keepLines w:val="0"/>
        <w:pageBreakBefore w:val="0"/>
        <w:widowControl w:val="0"/>
        <w:kinsoku/>
        <w:wordWrap/>
        <w:overflowPunct/>
        <w:topLinePunct w:val="0"/>
        <w:bidi w:val="0"/>
        <w:spacing w:line="57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val="en-US" w:eastAsia="zh-CN"/>
        </w:rPr>
        <w:t>六</w:t>
      </w:r>
      <w:r>
        <w:rPr>
          <w:rFonts w:hint="default" w:ascii="Times New Roman" w:hAnsi="Times New Roman" w:eastAsia="楷体_GB2312" w:cs="Times New Roman"/>
          <w:b w:val="0"/>
          <w:bCs/>
          <w:sz w:val="32"/>
          <w:szCs w:val="32"/>
        </w:rPr>
        <w:t>）推荐中选候选人</w:t>
      </w:r>
    </w:p>
    <w:p w14:paraId="658DBA83">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shd w:val="clear" w:color="auto" w:fill="FFFF00"/>
        </w:rPr>
      </w:pPr>
      <w:r>
        <w:rPr>
          <w:rFonts w:hint="default" w:ascii="Times New Roman" w:hAnsi="Times New Roman" w:eastAsia="仿宋_GB2312" w:cs="Times New Roman"/>
          <w:sz w:val="32"/>
          <w:szCs w:val="32"/>
          <w:highlight w:val="none"/>
        </w:rPr>
        <w:t>完成评审后，评委会向比选人推荐通过审查且按综合得分由高到低的顺序排名第一的比选申请人为中选候选人。如总分相同，以评级费用得分最高比选申请人优先；如总分相同，评级费用得分也相同，则以类似业绩得分最高比选申请人优先；如总分、评级费用和类似业绩得分都相同，则以</w:t>
      </w:r>
      <w:r>
        <w:rPr>
          <w:rFonts w:hint="default" w:ascii="Times New Roman" w:hAnsi="Times New Roman" w:eastAsia="仿宋_GB2312" w:cs="Times New Roman"/>
          <w:sz w:val="32"/>
          <w:szCs w:val="32"/>
          <w:highlight w:val="none"/>
          <w:lang w:val="en-US" w:eastAsia="zh-CN"/>
        </w:rPr>
        <w:t>评级方案</w:t>
      </w:r>
      <w:r>
        <w:rPr>
          <w:rFonts w:hint="default" w:ascii="Times New Roman" w:hAnsi="Times New Roman" w:eastAsia="仿宋_GB2312" w:cs="Times New Roman"/>
          <w:sz w:val="32"/>
          <w:szCs w:val="32"/>
          <w:highlight w:val="none"/>
        </w:rPr>
        <w:t>得分最高比选人申请人优先；如果前四项（总分、评级费用得分、类似业绩得分、</w:t>
      </w:r>
      <w:r>
        <w:rPr>
          <w:rFonts w:hint="default" w:ascii="Times New Roman" w:hAnsi="Times New Roman" w:eastAsia="仿宋_GB2312" w:cs="Times New Roman"/>
          <w:sz w:val="32"/>
          <w:szCs w:val="32"/>
          <w:highlight w:val="none"/>
          <w:lang w:val="en-US" w:eastAsia="zh-CN"/>
        </w:rPr>
        <w:t>评级方案</w:t>
      </w:r>
      <w:r>
        <w:rPr>
          <w:rFonts w:hint="default" w:ascii="Times New Roman" w:hAnsi="Times New Roman" w:eastAsia="仿宋_GB2312" w:cs="Times New Roman"/>
          <w:sz w:val="32"/>
          <w:szCs w:val="32"/>
          <w:highlight w:val="none"/>
        </w:rPr>
        <w:t>）分数都相同，则采用抽签方式确定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并形成书面评审报告交比选人审议，书面评审报告由评委会全体成员签字。</w:t>
      </w:r>
    </w:p>
    <w:p w14:paraId="4571E329">
      <w:pPr>
        <w:pStyle w:val="3"/>
        <w:keepLines w:val="0"/>
        <w:pageBreakBefore w:val="0"/>
        <w:widowControl w:val="0"/>
        <w:kinsoku/>
        <w:wordWrap/>
        <w:overflowPunct/>
        <w:topLinePunct w:val="0"/>
        <w:bidi w:val="0"/>
        <w:spacing w:line="570" w:lineRule="exact"/>
        <w:ind w:firstLine="640" w:firstLineChars="200"/>
        <w:jc w:val="both"/>
        <w:textAlignment w:val="auto"/>
        <w:rPr>
          <w:rFonts w:hint="default" w:ascii="Times New Roman" w:hAnsi="Times New Roman" w:eastAsia="黑体" w:cs="Times New Roman"/>
          <w:b w:val="0"/>
          <w:bCs w:val="0"/>
          <w:sz w:val="32"/>
          <w:szCs w:val="32"/>
        </w:rPr>
      </w:pPr>
      <w:bookmarkStart w:id="728" w:name="_Toc13148"/>
      <w:bookmarkStart w:id="729" w:name="_Toc28596"/>
      <w:bookmarkStart w:id="730" w:name="_Toc27448"/>
      <w:bookmarkStart w:id="731" w:name="_Toc10806"/>
      <w:bookmarkStart w:id="732" w:name="_Toc27162"/>
      <w:bookmarkStart w:id="733" w:name="_Toc18421"/>
      <w:bookmarkStart w:id="734" w:name="_Toc19559"/>
      <w:bookmarkStart w:id="735" w:name="_Toc9230"/>
      <w:bookmarkStart w:id="736" w:name="_Toc8629"/>
      <w:bookmarkStart w:id="737" w:name="_Toc14263"/>
      <w:bookmarkStart w:id="738" w:name="_Toc12497"/>
      <w:bookmarkStart w:id="739" w:name="_Toc28850"/>
      <w:bookmarkStart w:id="740" w:name="_Toc7824"/>
      <w:bookmarkStart w:id="741" w:name="_Toc15875"/>
      <w:bookmarkStart w:id="742" w:name="_Toc6456"/>
      <w:bookmarkStart w:id="743" w:name="_Toc5673"/>
      <w:bookmarkStart w:id="744" w:name="_Toc22501"/>
      <w:bookmarkStart w:id="745" w:name="_Toc3764"/>
      <w:bookmarkStart w:id="746" w:name="_Toc11946"/>
      <w:bookmarkStart w:id="747" w:name="_Toc19291"/>
      <w:bookmarkStart w:id="748" w:name="_Toc13680"/>
      <w:bookmarkStart w:id="749" w:name="_Toc503280720"/>
      <w:bookmarkStart w:id="750" w:name="_Toc2079"/>
      <w:bookmarkStart w:id="751" w:name="_Toc19537"/>
      <w:bookmarkStart w:id="752" w:name="_Toc20593"/>
      <w:bookmarkStart w:id="753" w:name="_Toc23260"/>
      <w:r>
        <w:rPr>
          <w:rFonts w:hint="default" w:ascii="Times New Roman" w:hAnsi="Times New Roman" w:eastAsia="黑体" w:cs="Times New Roman"/>
          <w:b w:val="0"/>
          <w:bCs w:val="0"/>
          <w:sz w:val="32"/>
          <w:szCs w:val="32"/>
        </w:rPr>
        <w:t>三、评审过程的保密</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bookmarkEnd w:id="618"/>
    <w:p w14:paraId="475230A5">
      <w:pPr>
        <w:pStyle w:val="10"/>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评审会开始后，直至授予中选人合同为止，凡属于对比选申请书的审查、评价和有关资料以及中选候选人的情况，与评审有关的其他任何情况均严格保密。</w:t>
      </w:r>
    </w:p>
    <w:p w14:paraId="7FF4695E">
      <w:pPr>
        <w:pStyle w:val="3"/>
        <w:keepLines w:val="0"/>
        <w:pageBreakBefore w:val="0"/>
        <w:widowControl w:val="0"/>
        <w:kinsoku/>
        <w:wordWrap/>
        <w:overflowPunct/>
        <w:topLinePunct w:val="0"/>
        <w:bidi w:val="0"/>
        <w:spacing w:line="570" w:lineRule="exact"/>
        <w:ind w:firstLine="640" w:firstLineChars="200"/>
        <w:jc w:val="both"/>
        <w:textAlignment w:val="auto"/>
        <w:rPr>
          <w:rFonts w:hint="default" w:ascii="Times New Roman" w:hAnsi="Times New Roman" w:eastAsia="仿宋_GB2312" w:cs="Times New Roman"/>
          <w:sz w:val="24"/>
          <w:szCs w:val="24"/>
        </w:rPr>
      </w:pPr>
      <w:bookmarkStart w:id="754" w:name="_Toc30517"/>
      <w:bookmarkStart w:id="755" w:name="_Toc21934"/>
      <w:bookmarkStart w:id="756" w:name="_Toc9220"/>
      <w:bookmarkStart w:id="757" w:name="_Toc5871"/>
      <w:bookmarkStart w:id="758" w:name="_Toc3418"/>
      <w:bookmarkStart w:id="759" w:name="_Toc12930"/>
      <w:bookmarkStart w:id="760" w:name="_Toc22784"/>
      <w:bookmarkStart w:id="761" w:name="_Toc27419"/>
      <w:bookmarkStart w:id="762" w:name="_Toc26257"/>
      <w:bookmarkStart w:id="763" w:name="_Toc14556"/>
      <w:bookmarkStart w:id="764" w:name="_Toc18536"/>
      <w:bookmarkStart w:id="765" w:name="_Toc30986"/>
      <w:bookmarkStart w:id="766" w:name="_Toc15612"/>
      <w:bookmarkStart w:id="767" w:name="_Toc4200"/>
      <w:bookmarkStart w:id="768" w:name="_Toc503280721"/>
      <w:bookmarkStart w:id="769" w:name="_Toc30600"/>
      <w:bookmarkStart w:id="770" w:name="_Toc358535027"/>
      <w:bookmarkStart w:id="771" w:name="_Toc22691"/>
      <w:bookmarkStart w:id="772" w:name="_Toc1315"/>
      <w:bookmarkStart w:id="773" w:name="_Toc14364"/>
      <w:bookmarkStart w:id="774" w:name="_Toc25779"/>
      <w:bookmarkStart w:id="775" w:name="_Toc28166"/>
      <w:bookmarkStart w:id="776" w:name="_Toc10956"/>
      <w:bookmarkStart w:id="777" w:name="_Toc32740"/>
      <w:bookmarkStart w:id="778" w:name="_Toc19095"/>
      <w:bookmarkStart w:id="779" w:name="_Toc8671"/>
      <w:bookmarkStart w:id="780" w:name="_Toc8855"/>
      <w:r>
        <w:rPr>
          <w:rFonts w:hint="default" w:ascii="Times New Roman" w:hAnsi="Times New Roman" w:eastAsia="黑体" w:cs="Times New Roman"/>
          <w:b w:val="0"/>
          <w:bCs w:val="0"/>
          <w:sz w:val="32"/>
          <w:szCs w:val="32"/>
        </w:rPr>
        <w:t>四、中选通知与合同授予</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16C6F247">
      <w:pPr>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（一）中选人的确定</w:t>
      </w:r>
    </w:p>
    <w:p w14:paraId="77429E53">
      <w:pPr>
        <w:pStyle w:val="10"/>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比选人对评委会提交的中选候选人的综合得分进行审核，并确定中选人。</w:t>
      </w:r>
    </w:p>
    <w:p w14:paraId="2E76AE8A">
      <w:pPr>
        <w:pStyle w:val="11"/>
        <w:keepLines w:val="0"/>
        <w:pageBreakBefore w:val="0"/>
        <w:widowControl w:val="0"/>
        <w:kinsoku/>
        <w:wordWrap/>
        <w:overflowPunct/>
        <w:topLinePunct w:val="0"/>
        <w:bidi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比选</w:t>
      </w:r>
      <w:r>
        <w:rPr>
          <w:rFonts w:hint="default" w:ascii="Times New Roman" w:hAnsi="Times New Roman" w:eastAsia="仿宋_GB2312" w:cs="Times New Roman"/>
          <w:sz w:val="32"/>
          <w:szCs w:val="32"/>
        </w:rPr>
        <w:t>工作小组向中选人发出中选通知书时，中选通知书中将写明中选人在比选过程中所做出承诺的内容。</w:t>
      </w:r>
    </w:p>
    <w:p w14:paraId="5A6EF6E6">
      <w:pPr>
        <w:pStyle w:val="10"/>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3.中选通知书是合同文件的组成部分。</w:t>
      </w:r>
    </w:p>
    <w:p w14:paraId="60D35871">
      <w:pPr>
        <w:pStyle w:val="10"/>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4.中选人确定后，比选人不对未中选人就评审过程以及未能中选原因做出任何解释。未中选人不得向评审委员会组成人员或其他有关人员索问评审过程情况和索要评审过程材料。</w:t>
      </w:r>
    </w:p>
    <w:p w14:paraId="250F4788">
      <w:pPr>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（二）合同协议书的签署</w:t>
      </w:r>
    </w:p>
    <w:p w14:paraId="5B7C3244">
      <w:pPr>
        <w:pStyle w:val="10"/>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中选人应于收到中选通知书之</w:t>
      </w:r>
      <w:r>
        <w:rPr>
          <w:rFonts w:hint="default" w:ascii="Times New Roman" w:hAnsi="Times New Roman" w:eastAsia="仿宋_GB2312" w:cs="Times New Roman"/>
          <w:sz w:val="32"/>
          <w:szCs w:val="32"/>
          <w:highlight w:val="none"/>
        </w:rPr>
        <w:t>日起</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个工作日内</w:t>
      </w:r>
      <w:r>
        <w:rPr>
          <w:rFonts w:hint="default" w:ascii="Times New Roman" w:hAnsi="Times New Roman" w:eastAsia="仿宋_GB2312" w:cs="Times New Roman"/>
          <w:sz w:val="32"/>
          <w:szCs w:val="32"/>
        </w:rPr>
        <w:t>由法定代表人或授权代表与比选人签订相关的合同协议。</w:t>
      </w:r>
    </w:p>
    <w:p w14:paraId="6B711989">
      <w:pPr>
        <w:pStyle w:val="10"/>
        <w:keepLines w:val="0"/>
        <w:pageBreakBefore w:val="0"/>
        <w:widowControl w:val="0"/>
        <w:kinsoku/>
        <w:wordWrap/>
        <w:overflowPunct/>
        <w:topLinePunct w:val="0"/>
        <w:bidi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果中选人以资金、技术等非正当理由放弃中选或者在规定的时间内未与比选人签订相关合同协议，比选人可以确定排名在其次的中选候选人为中选人；排名其次的中选候选人因前款规定的同样原因放弃中选时，比选人</w:t>
      </w:r>
      <w:r>
        <w:rPr>
          <w:rFonts w:hint="default" w:ascii="Times New Roman" w:hAnsi="Times New Roman" w:eastAsia="仿宋_GB2312" w:cs="Times New Roman"/>
          <w:sz w:val="32"/>
          <w:szCs w:val="32"/>
          <w:lang w:val="en-US" w:eastAsia="zh-CN"/>
        </w:rPr>
        <w:t>将终止此次比选，重新发布比选公告</w:t>
      </w:r>
      <w:r>
        <w:rPr>
          <w:rFonts w:hint="default" w:ascii="Times New Roman" w:hAnsi="Times New Roman" w:eastAsia="仿宋_GB2312" w:cs="Times New Roman"/>
          <w:sz w:val="32"/>
          <w:szCs w:val="32"/>
        </w:rPr>
        <w:t>。若</w:t>
      </w:r>
      <w:r>
        <w:rPr>
          <w:rFonts w:hint="default" w:ascii="Times New Roman" w:hAnsi="Times New Roman" w:eastAsia="仿宋_GB2312" w:cs="Times New Roman"/>
          <w:sz w:val="32"/>
          <w:szCs w:val="32"/>
          <w:lang w:val="en-US" w:eastAsia="zh-Hans"/>
        </w:rPr>
        <w:t>中选人或</w:t>
      </w:r>
      <w:r>
        <w:rPr>
          <w:rFonts w:hint="default" w:ascii="Times New Roman" w:hAnsi="Times New Roman" w:eastAsia="仿宋_GB2312" w:cs="Times New Roman"/>
          <w:sz w:val="32"/>
          <w:szCs w:val="32"/>
        </w:rPr>
        <w:t>中选候选人以资金、技术等非正当理由放弃中选，在今后3年内比选人将不接收放弃中选者参加比选。</w:t>
      </w:r>
    </w:p>
    <w:p w14:paraId="21EFB74F">
      <w:pPr>
        <w:pStyle w:val="3"/>
        <w:spacing w:line="570" w:lineRule="exact"/>
        <w:ind w:firstLine="640" w:firstLineChars="200"/>
        <w:jc w:val="both"/>
        <w:rPr>
          <w:rFonts w:hint="default" w:ascii="Times New Roman" w:hAnsi="Times New Roman" w:eastAsia="黑体" w:cs="Times New Roman"/>
          <w:b w:val="0"/>
          <w:bCs w:val="0"/>
          <w:sz w:val="32"/>
          <w:szCs w:val="32"/>
        </w:rPr>
      </w:pPr>
      <w:bookmarkStart w:id="781" w:name="_Toc22208"/>
      <w:bookmarkStart w:id="782" w:name="_Toc2193"/>
      <w:bookmarkStart w:id="783" w:name="_Toc22642"/>
      <w:bookmarkStart w:id="784" w:name="_Toc26349"/>
      <w:bookmarkStart w:id="785" w:name="_Toc30343"/>
      <w:bookmarkStart w:id="786" w:name="_Toc19315"/>
      <w:bookmarkStart w:id="787" w:name="_Toc29383"/>
      <w:bookmarkStart w:id="788" w:name="_Toc12574"/>
      <w:bookmarkStart w:id="789" w:name="_Toc18711"/>
      <w:bookmarkStart w:id="790" w:name="_Toc8860"/>
      <w:bookmarkStart w:id="791" w:name="_Toc31568"/>
      <w:bookmarkStart w:id="792" w:name="_Toc27278"/>
      <w:bookmarkStart w:id="793" w:name="_Toc2184"/>
      <w:bookmarkStart w:id="794" w:name="_Toc2148"/>
      <w:bookmarkStart w:id="795" w:name="_Toc30402"/>
      <w:bookmarkStart w:id="796" w:name="_Toc12428"/>
      <w:bookmarkStart w:id="797" w:name="_Toc24542"/>
      <w:bookmarkStart w:id="798" w:name="_Toc29888"/>
      <w:bookmarkStart w:id="799" w:name="_Toc18916"/>
      <w:bookmarkStart w:id="800" w:name="_Toc30140"/>
      <w:bookmarkStart w:id="801" w:name="_Toc16530"/>
      <w:bookmarkStart w:id="802" w:name="_Toc2678"/>
      <w:bookmarkStart w:id="803" w:name="_Toc14755"/>
      <w:bookmarkStart w:id="804" w:name="_Toc503280722"/>
      <w:bookmarkStart w:id="805" w:name="_Toc358535028"/>
      <w:bookmarkStart w:id="806" w:name="_Toc449"/>
      <w:bookmarkStart w:id="807" w:name="_Toc27632"/>
      <w:r>
        <w:rPr>
          <w:rFonts w:hint="default" w:ascii="Times New Roman" w:hAnsi="Times New Roman" w:eastAsia="黑体" w:cs="Times New Roman"/>
          <w:b w:val="0"/>
          <w:bCs w:val="0"/>
          <w:sz w:val="32"/>
          <w:szCs w:val="32"/>
        </w:rPr>
        <w:t>五、不正当竞争与纪律监督</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22519759">
      <w:pPr>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（一）严禁比选申请人向参与比选、评审工作的有关人员行贿，使其泄露一切与比选、评审工作的有关信息。</w:t>
      </w:r>
    </w:p>
    <w:p w14:paraId="245CC9FF">
      <w:pPr>
        <w:snapToGrid w:val="0"/>
        <w:spacing w:line="57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（二）比选申请人在比选过程中严禁互相串通、结盟，损害比选的公正性和竞争性，或以任何方式影响其他比选申请人参与正当比选。</w:t>
      </w:r>
      <w:bookmarkEnd w:id="619"/>
      <w:bookmarkEnd w:id="620"/>
      <w:bookmarkEnd w:id="621"/>
      <w:bookmarkEnd w:id="622"/>
      <w:bookmarkEnd w:id="623"/>
      <w:bookmarkEnd w:id="624"/>
    </w:p>
    <w:p w14:paraId="4BFF6304">
      <w:pPr>
        <w:pStyle w:val="2"/>
        <w:spacing w:before="0" w:beforeLines="0" w:after="0" w:line="240" w:lineRule="auto"/>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24"/>
          <w:szCs w:val="24"/>
        </w:rPr>
        <w:br w:type="page"/>
      </w:r>
      <w:bookmarkEnd w:id="4"/>
      <w:bookmarkStart w:id="808" w:name="_Toc500403139"/>
      <w:bookmarkStart w:id="809" w:name="_Toc15175"/>
      <w:bookmarkStart w:id="810" w:name="_Toc358368431"/>
      <w:bookmarkStart w:id="811" w:name="_Toc19744"/>
      <w:bookmarkStart w:id="812" w:name="_Toc11863"/>
      <w:bookmarkStart w:id="813" w:name="_Toc503280723"/>
      <w:bookmarkStart w:id="814" w:name="_Toc358535045"/>
      <w:r>
        <w:rPr>
          <w:rFonts w:hint="eastAsia" w:ascii="方正小标宋简体" w:hAnsi="方正小标宋简体" w:eastAsia="方正小标宋简体" w:cs="方正小标宋简体"/>
          <w:b w:val="0"/>
          <w:bCs w:val="0"/>
          <w:sz w:val="44"/>
          <w:szCs w:val="44"/>
        </w:rPr>
        <w:t xml:space="preserve"> </w:t>
      </w:r>
      <w:bookmarkStart w:id="815" w:name="_Toc20867"/>
      <w:bookmarkStart w:id="816" w:name="_Toc18037"/>
      <w:bookmarkStart w:id="817" w:name="_Toc31114"/>
      <w:bookmarkStart w:id="818" w:name="_Toc28668"/>
      <w:bookmarkStart w:id="819" w:name="_Toc32251"/>
      <w:bookmarkStart w:id="820" w:name="_Toc30926"/>
      <w:bookmarkStart w:id="821" w:name="_Toc18272"/>
      <w:bookmarkStart w:id="822" w:name="_Toc8477"/>
      <w:bookmarkStart w:id="823" w:name="_Toc1691"/>
      <w:bookmarkStart w:id="824" w:name="_Toc32071"/>
      <w:bookmarkStart w:id="825" w:name="_Toc4976"/>
      <w:bookmarkStart w:id="826" w:name="_Toc21943"/>
      <w:bookmarkStart w:id="827" w:name="_Toc19786"/>
      <w:bookmarkStart w:id="828" w:name="_Toc28412"/>
      <w:bookmarkStart w:id="829" w:name="_Toc24516"/>
      <w:bookmarkStart w:id="830" w:name="_Toc27960"/>
      <w:bookmarkStart w:id="831" w:name="_Toc17115"/>
      <w:bookmarkStart w:id="832" w:name="_Toc25109"/>
      <w:bookmarkStart w:id="833" w:name="_Toc5103"/>
      <w:bookmarkStart w:id="834" w:name="_Toc32114"/>
      <w:bookmarkStart w:id="835" w:name="_Toc11102"/>
      <w:bookmarkStart w:id="836" w:name="_Toc15080"/>
      <w:r>
        <w:rPr>
          <w:rFonts w:hint="eastAsia" w:ascii="方正小标宋简体" w:hAnsi="方正小标宋简体" w:eastAsia="方正小标宋简体" w:cs="方正小标宋简体"/>
          <w:b w:val="0"/>
          <w:bCs w:val="0"/>
          <w:sz w:val="44"/>
          <w:szCs w:val="44"/>
          <w:lang w:val="en-US" w:eastAsia="zh-CN"/>
        </w:rPr>
        <w:t xml:space="preserve">第四章  </w:t>
      </w:r>
      <w:r>
        <w:rPr>
          <w:rFonts w:hint="eastAsia" w:ascii="方正小标宋简体" w:hAnsi="方正小标宋简体" w:eastAsia="方正小标宋简体" w:cs="方正小标宋简体"/>
          <w:b w:val="0"/>
          <w:bCs w:val="0"/>
          <w:sz w:val="44"/>
          <w:szCs w:val="44"/>
        </w:rPr>
        <w:t>比选申请文件格式</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Start w:id="837" w:name="_Toc358368432"/>
      <w:bookmarkStart w:id="838" w:name="_Toc500403140"/>
    </w:p>
    <w:p w14:paraId="233859E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rPr>
        <w:t>比选申请人应按比选文件规定的内容和格式编制并提交比选申请文件，比选申</w:t>
      </w:r>
      <w:r>
        <w:rPr>
          <w:rFonts w:hint="eastAsia" w:ascii="仿宋_GB2312" w:hAnsi="仿宋_GB2312" w:eastAsia="仿宋_GB2312" w:cs="仿宋_GB2312"/>
          <w:sz w:val="32"/>
          <w:szCs w:val="32"/>
          <w:highlight w:val="none"/>
        </w:rPr>
        <w:t>请文件应包括：</w:t>
      </w:r>
    </w:p>
    <w:p w14:paraId="143108CD">
      <w:pPr>
        <w:numPr>
          <w:ilvl w:val="0"/>
          <w:numId w:val="0"/>
        </w:numPr>
        <w:spacing w:line="57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highlight w:val="none"/>
          <w:lang w:val="en-US" w:eastAsia="zh-CN"/>
        </w:rPr>
        <w:t>比选申请文件封面</w:t>
      </w:r>
      <w:bookmarkEnd w:id="837"/>
      <w:bookmarkEnd w:id="838"/>
    </w:p>
    <w:p w14:paraId="0A1FEE5B">
      <w:pPr>
        <w:numPr>
          <w:ilvl w:val="0"/>
          <w:numId w:val="0"/>
        </w:numPr>
        <w:spacing w:line="57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kern w:val="2"/>
          <w:sz w:val="32"/>
          <w:szCs w:val="32"/>
          <w:lang w:val="zh-CN" w:eastAsia="zh-CN" w:bidi="ar-SA"/>
        </w:rPr>
        <w:t>二、</w:t>
      </w:r>
      <w:r>
        <w:rPr>
          <w:rFonts w:hint="eastAsia" w:ascii="仿宋_GB2312" w:hAnsi="仿宋_GB2312" w:eastAsia="仿宋_GB2312" w:cs="仿宋_GB2312"/>
          <w:sz w:val="32"/>
          <w:szCs w:val="32"/>
          <w:highlight w:val="none"/>
          <w:lang w:val="en-US" w:eastAsia="zh-CN"/>
        </w:rPr>
        <w:t>目录</w:t>
      </w:r>
    </w:p>
    <w:p w14:paraId="2241C9E1">
      <w:pPr>
        <w:numPr>
          <w:ilvl w:val="0"/>
          <w:numId w:val="0"/>
        </w:numPr>
        <w:spacing w:line="57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highlight w:val="none"/>
        </w:rPr>
        <w:t>比选申请书</w:t>
      </w:r>
      <w:r>
        <w:rPr>
          <w:rFonts w:hint="eastAsia" w:ascii="仿宋_GB2312" w:hAnsi="仿宋_GB2312" w:eastAsia="仿宋_GB2312" w:cs="仿宋_GB2312"/>
          <w:sz w:val="32"/>
          <w:szCs w:val="32"/>
          <w:highlight w:val="none"/>
          <w:lang w:eastAsia="zh-CN"/>
        </w:rPr>
        <w:t>；</w:t>
      </w:r>
    </w:p>
    <w:p w14:paraId="47516749">
      <w:pPr>
        <w:numPr>
          <w:ilvl w:val="0"/>
          <w:numId w:val="0"/>
        </w:numPr>
        <w:spacing w:line="57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highlight w:val="none"/>
          <w:lang w:val="zh-CN" w:eastAsia="zh-CN"/>
        </w:rPr>
        <w:t>比选承诺函</w:t>
      </w:r>
      <w:r>
        <w:rPr>
          <w:rFonts w:hint="eastAsia" w:ascii="仿宋_GB2312" w:hAnsi="仿宋_GB2312" w:eastAsia="仿宋_GB2312" w:cs="仿宋_GB2312"/>
          <w:sz w:val="32"/>
          <w:szCs w:val="32"/>
          <w:highlight w:val="none"/>
          <w:lang w:val="en-US" w:eastAsia="zh-CN"/>
        </w:rPr>
        <w:t>；</w:t>
      </w:r>
    </w:p>
    <w:p w14:paraId="3CDE5C1D">
      <w:pPr>
        <w:numPr>
          <w:ilvl w:val="0"/>
          <w:numId w:val="0"/>
        </w:numPr>
        <w:spacing w:line="57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kern w:val="2"/>
          <w:sz w:val="32"/>
          <w:szCs w:val="32"/>
          <w:lang w:val="zh-CN" w:eastAsia="zh-CN" w:bidi="ar-SA"/>
        </w:rPr>
        <w:t>五、</w:t>
      </w:r>
      <w:r>
        <w:rPr>
          <w:rFonts w:hint="eastAsia" w:ascii="仿宋_GB2312" w:hAnsi="仿宋_GB2312" w:eastAsia="仿宋_GB2312" w:cs="仿宋_GB2312"/>
          <w:sz w:val="32"/>
          <w:szCs w:val="32"/>
          <w:highlight w:val="none"/>
          <w:lang w:val="en-US" w:eastAsia="zh-CN"/>
        </w:rPr>
        <w:t>法定代表人</w:t>
      </w:r>
      <w:r>
        <w:rPr>
          <w:rFonts w:hint="eastAsia" w:ascii="仿宋_GB2312" w:hAnsi="仿宋_GB2312" w:eastAsia="仿宋_GB2312" w:cs="仿宋_GB2312"/>
          <w:sz w:val="32"/>
          <w:szCs w:val="32"/>
          <w:highlight w:val="none"/>
          <w:lang w:val="zh-CN" w:eastAsia="zh-CN"/>
        </w:rPr>
        <w:t>授权书（</w:t>
      </w:r>
      <w:r>
        <w:rPr>
          <w:rFonts w:hint="eastAsia" w:ascii="仿宋_GB2312" w:hAnsi="仿宋_GB2312" w:eastAsia="仿宋_GB2312" w:cs="仿宋_GB2312"/>
          <w:sz w:val="32"/>
          <w:szCs w:val="32"/>
          <w:highlight w:val="none"/>
          <w:lang w:val="en-US" w:eastAsia="zh-CN"/>
        </w:rPr>
        <w:t>如有</w:t>
      </w:r>
      <w:r>
        <w:rPr>
          <w:rFonts w:hint="eastAsia" w:ascii="仿宋_GB2312" w:hAnsi="仿宋_GB2312" w:eastAsia="仿宋_GB2312" w:cs="仿宋_GB2312"/>
          <w:sz w:val="32"/>
          <w:szCs w:val="32"/>
          <w:highlight w:val="none"/>
          <w:lang w:val="zh-CN" w:eastAsia="zh-CN"/>
        </w:rPr>
        <w:t>）；</w:t>
      </w:r>
    </w:p>
    <w:p w14:paraId="7E3806BD">
      <w:pPr>
        <w:numPr>
          <w:ilvl w:val="0"/>
          <w:numId w:val="0"/>
        </w:numPr>
        <w:spacing w:line="57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highlight w:val="none"/>
          <w:lang w:val="en-US" w:eastAsia="zh-CN"/>
        </w:rPr>
        <w:t>比选申请人的主体资格证明文件（营业执照正本复印件，需加盖比选申请人公章）；</w:t>
      </w:r>
    </w:p>
    <w:p w14:paraId="556C44AC">
      <w:pPr>
        <w:numPr>
          <w:ilvl w:val="0"/>
          <w:numId w:val="0"/>
        </w:numPr>
        <w:spacing w:line="57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highlight w:val="none"/>
          <w:lang w:val="en-US" w:eastAsia="zh-CN"/>
        </w:rPr>
        <w:t>监管机构认定的具有资质开展公司主体信用评级业务的评级机构的证明文件（需加盖比选申请人公章）；</w:t>
      </w:r>
    </w:p>
    <w:p w14:paraId="7825D455">
      <w:pPr>
        <w:numPr>
          <w:ilvl w:val="0"/>
          <w:numId w:val="0"/>
        </w:numPr>
        <w:spacing w:line="57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highlight w:val="none"/>
          <w:lang w:val="en-US" w:eastAsia="zh-CN"/>
        </w:rPr>
        <w:t>服务费报价函；</w:t>
      </w:r>
    </w:p>
    <w:p w14:paraId="53290197">
      <w:pPr>
        <w:numPr>
          <w:ilvl w:val="0"/>
          <w:numId w:val="0"/>
        </w:numPr>
        <w:spacing w:line="57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九、</w:t>
      </w:r>
      <w:r>
        <w:rPr>
          <w:rFonts w:hint="eastAsia" w:ascii="仿宋_GB2312" w:hAnsi="仿宋_GB2312" w:eastAsia="仿宋_GB2312" w:cs="仿宋_GB2312"/>
          <w:sz w:val="32"/>
          <w:szCs w:val="32"/>
          <w:highlight w:val="none"/>
          <w:lang w:val="en-US" w:eastAsia="zh-CN"/>
        </w:rPr>
        <w:t>人员配置情况；</w:t>
      </w:r>
    </w:p>
    <w:p w14:paraId="4D09BB76">
      <w:pPr>
        <w:numPr>
          <w:ilvl w:val="0"/>
          <w:numId w:val="0"/>
        </w:numPr>
        <w:spacing w:line="57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sz w:val="32"/>
          <w:szCs w:val="32"/>
          <w:highlight w:val="none"/>
          <w:lang w:val="en-US" w:eastAsia="zh-CN"/>
        </w:rPr>
        <w:t>类似业绩证明；</w:t>
      </w:r>
    </w:p>
    <w:p w14:paraId="07371F53">
      <w:pPr>
        <w:numPr>
          <w:ilvl w:val="0"/>
          <w:numId w:val="0"/>
        </w:numPr>
        <w:spacing w:line="57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十一、</w:t>
      </w:r>
      <w:r>
        <w:rPr>
          <w:rFonts w:hint="eastAsia" w:ascii="仿宋_GB2312" w:hAnsi="仿宋_GB2312" w:eastAsia="仿宋_GB2312" w:cs="仿宋_GB2312"/>
          <w:sz w:val="32"/>
          <w:szCs w:val="32"/>
          <w:highlight w:val="none"/>
          <w:lang w:val="en-US" w:eastAsia="zh-CN"/>
        </w:rPr>
        <w:t>评级服务方案，方案包括但不限于下述方面的内容：</w:t>
      </w:r>
    </w:p>
    <w:p w14:paraId="048A3CB0">
      <w:pPr>
        <w:spacing w:line="5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（一）比选申请人简介；</w:t>
      </w:r>
    </w:p>
    <w:p w14:paraId="25F6607A">
      <w:pPr>
        <w:spacing w:line="5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（二）项目组织方案，如项目实施主要步骤、预计完成时间、人员配备情况等；</w:t>
      </w:r>
    </w:p>
    <w:p w14:paraId="6874A4B6">
      <w:pPr>
        <w:spacing w:line="5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服务能力</w:t>
      </w:r>
      <w:r>
        <w:rPr>
          <w:rFonts w:hint="eastAsia" w:ascii="仿宋_GB2312" w:hAnsi="仿宋_GB2312" w:eastAsia="仿宋_GB2312" w:cs="仿宋_GB2312"/>
          <w:sz w:val="32"/>
          <w:szCs w:val="32"/>
          <w:highlight w:val="none"/>
        </w:rPr>
        <w:t>，包括并不限于为比选人</w:t>
      </w:r>
      <w:r>
        <w:rPr>
          <w:rFonts w:hint="eastAsia" w:ascii="仿宋_GB2312" w:hAnsi="仿宋_GB2312" w:eastAsia="仿宋_GB2312" w:cs="仿宋_GB2312"/>
          <w:sz w:val="32"/>
          <w:szCs w:val="32"/>
          <w:highlight w:val="none"/>
          <w:lang w:val="en-US" w:eastAsia="zh-CN"/>
        </w:rPr>
        <w:t>及时响应、</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val="en-US" w:eastAsia="zh-CN"/>
        </w:rPr>
        <w:t>金融</w:t>
      </w:r>
      <w:r>
        <w:rPr>
          <w:rFonts w:hint="eastAsia" w:ascii="仿宋_GB2312" w:hAnsi="仿宋_GB2312" w:eastAsia="仿宋_GB2312" w:cs="仿宋_GB2312"/>
          <w:sz w:val="32"/>
          <w:szCs w:val="32"/>
          <w:highlight w:val="none"/>
        </w:rPr>
        <w:t>服务等；</w:t>
      </w:r>
    </w:p>
    <w:p w14:paraId="5667EB32">
      <w:pPr>
        <w:spacing w:line="57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）比选申请人认为需要的其他内容。</w:t>
      </w:r>
    </w:p>
    <w:p w14:paraId="48DAE64D">
      <w:pPr>
        <w:pStyle w:val="16"/>
        <w:spacing w:after="0" w:line="570" w:lineRule="exact"/>
        <w:ind w:left="0" w:lef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十二、最终报价表格；</w:t>
      </w:r>
    </w:p>
    <w:p w14:paraId="123FF4D9">
      <w:pPr>
        <w:pStyle w:val="16"/>
        <w:spacing w:after="0" w:line="570" w:lineRule="exact"/>
        <w:ind w:left="0" w:lef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十三、其他。</w:t>
      </w:r>
    </w:p>
    <w:p w14:paraId="62F090FF">
      <w:pPr>
        <w:pStyle w:val="8"/>
        <w:spacing w:line="570" w:lineRule="exact"/>
        <w:rPr>
          <w:rFonts w:hint="default"/>
          <w:lang w:val="en-US" w:eastAsia="zh-CN"/>
        </w:rPr>
      </w:pPr>
    </w:p>
    <w:p w14:paraId="4A3AB9B0">
      <w:pPr>
        <w:spacing w:before="0" w:after="0" w:line="570" w:lineRule="exact"/>
        <w:ind w:firstLine="640" w:firstLineChars="200"/>
        <w:jc w:val="both"/>
        <w:outlineLvl w:val="9"/>
        <w:rPr>
          <w:rFonts w:hint="eastAsia" w:ascii="Times New Roman" w:hAnsi="Times New Roman" w:eastAsia="仿宋_GB2312" w:cs="Times New Roman"/>
          <w:b/>
          <w:sz w:val="32"/>
          <w:szCs w:val="32"/>
          <w:lang w:val="en-US" w:eastAsia="zh-CN"/>
        </w:rPr>
      </w:pPr>
      <w:r>
        <w:rPr>
          <w:rFonts w:hint="eastAsia" w:ascii="仿宋_GB2312" w:hAnsi="仿宋_GB2312" w:eastAsia="仿宋_GB2312" w:cs="仿宋_GB2312"/>
          <w:sz w:val="32"/>
          <w:szCs w:val="32"/>
          <w:highlight w:val="none"/>
        </w:rPr>
        <w:t>本章所制比选文件格式，除格式中明确将该格式作为实质性要求的，一律不具有强制性</w:t>
      </w:r>
      <w:r>
        <w:rPr>
          <w:rFonts w:hint="eastAsia" w:ascii="仿宋_GB2312" w:hAnsi="仿宋_GB2312" w:eastAsia="仿宋_GB2312" w:cs="仿宋_GB2312"/>
          <w:sz w:val="32"/>
          <w:szCs w:val="32"/>
          <w:highlight w:val="none"/>
          <w:lang w:eastAsia="zh-CN"/>
        </w:rPr>
        <w:t>。</w:t>
      </w:r>
      <w:bookmarkStart w:id="839" w:name="_Toc19337"/>
      <w:bookmarkStart w:id="840" w:name="_Toc28246"/>
      <w:bookmarkStart w:id="841" w:name="_Toc24380"/>
      <w:bookmarkStart w:id="842" w:name="_Toc23216"/>
      <w:bookmarkStart w:id="843" w:name="_Toc31956"/>
      <w:bookmarkStart w:id="844" w:name="_Toc7025"/>
      <w:bookmarkStart w:id="845" w:name="_Toc6951"/>
      <w:bookmarkStart w:id="846" w:name="_Toc26666"/>
      <w:bookmarkStart w:id="847" w:name="_Toc7667"/>
      <w:bookmarkStart w:id="848" w:name="_Toc11577"/>
      <w:bookmarkStart w:id="849" w:name="_Toc4119"/>
      <w:bookmarkStart w:id="850" w:name="_Toc4888"/>
    </w:p>
    <w:p w14:paraId="483E3D8B">
      <w:pPr>
        <w:spacing w:before="260" w:after="260" w:line="600" w:lineRule="exact"/>
        <w:jc w:val="center"/>
        <w:outlineLvl w:val="1"/>
        <w:rPr>
          <w:rFonts w:hint="eastAsia" w:ascii="Times New Roman" w:hAnsi="Times New Roman" w:eastAsia="仿宋_GB2312" w:cs="Times New Roman"/>
          <w:b/>
          <w:sz w:val="32"/>
          <w:szCs w:val="32"/>
          <w:lang w:val="en-US" w:eastAsia="zh-CN"/>
        </w:rPr>
      </w:pPr>
      <w:bookmarkStart w:id="851" w:name="_Toc9524"/>
    </w:p>
    <w:p w14:paraId="68057F81">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70D430A4">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09E740E0">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4F9D1D42">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573D24AD">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2E65EE82">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0F9ABD0B">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2E494515">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0AC05A34">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626C352C">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538CFD3C">
      <w:pPr>
        <w:spacing w:before="260" w:after="260" w:line="600" w:lineRule="exact"/>
        <w:jc w:val="center"/>
        <w:outlineLvl w:val="1"/>
        <w:rPr>
          <w:rFonts w:hint="eastAsia" w:ascii="Times New Roman" w:hAnsi="Times New Roman" w:eastAsia="仿宋_GB2312" w:cs="Times New Roman"/>
          <w:b/>
          <w:sz w:val="32"/>
          <w:szCs w:val="32"/>
          <w:lang w:val="en-US" w:eastAsia="zh-CN"/>
        </w:rPr>
      </w:pPr>
    </w:p>
    <w:p w14:paraId="2188D094">
      <w:pPr>
        <w:spacing w:before="260" w:after="260" w:line="600" w:lineRule="exact"/>
        <w:jc w:val="center"/>
        <w:outlineLvl w:val="1"/>
        <w:rPr>
          <w:rFonts w:hint="default" w:ascii="Times New Roman" w:hAnsi="Times New Roman" w:eastAsia="仿宋_GB2312" w:cs="Times New Roman"/>
          <w:b/>
          <w:sz w:val="28"/>
          <w:szCs w:val="28"/>
          <w:lang w:val="en-US" w:eastAsia="zh-CN"/>
        </w:rPr>
      </w:pPr>
      <w:bookmarkStart w:id="852" w:name="_Toc7478"/>
      <w:bookmarkStart w:id="853" w:name="_Toc25472"/>
      <w:bookmarkStart w:id="854" w:name="_Toc32291"/>
      <w:bookmarkStart w:id="855" w:name="_Toc20078"/>
      <w:bookmarkStart w:id="856" w:name="_Toc12758"/>
      <w:bookmarkStart w:id="857" w:name="_Toc27856"/>
      <w:bookmarkStart w:id="858" w:name="_Toc30693"/>
      <w:bookmarkStart w:id="859" w:name="_Toc19501"/>
      <w:bookmarkStart w:id="860" w:name="_Toc13113"/>
      <w:r>
        <w:rPr>
          <w:rFonts w:hint="eastAsia" w:ascii="Times New Roman" w:hAnsi="Times New Roman" w:eastAsia="仿宋_GB2312" w:cs="Times New Roman"/>
          <w:b/>
          <w:sz w:val="32"/>
          <w:szCs w:val="32"/>
          <w:lang w:val="en-US" w:eastAsia="zh-CN"/>
        </w:rPr>
        <w:t>（一）比选</w:t>
      </w:r>
      <w:r>
        <w:rPr>
          <w:rFonts w:hint="default" w:ascii="Times New Roman" w:hAnsi="Times New Roman" w:eastAsia="仿宋_GB2312" w:cs="Times New Roman"/>
          <w:b/>
          <w:sz w:val="32"/>
          <w:szCs w:val="32"/>
          <w:lang w:val="en-US" w:eastAsia="zh-CN"/>
        </w:rPr>
        <w:t>申请文件封面</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34337B5B">
      <w:pPr>
        <w:pStyle w:val="8"/>
        <w:rPr>
          <w:rFonts w:hint="default"/>
        </w:rPr>
      </w:pPr>
    </w:p>
    <w:p w14:paraId="70BCC5D0">
      <w:pPr>
        <w:spacing w:before="156" w:beforeLines="50" w:after="156" w:afterLines="50" w:line="360" w:lineRule="auto"/>
        <w:jc w:val="center"/>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四川蜀道铁路运营管理集团有限责任公司</w:t>
      </w:r>
    </w:p>
    <w:p w14:paraId="2457B12C">
      <w:pPr>
        <w:spacing w:before="156" w:beforeLines="50" w:after="156" w:afterLines="50" w:line="360" w:lineRule="auto"/>
        <w:jc w:val="center"/>
        <w:rPr>
          <w:rFonts w:hint="eastAsia" w:ascii="微软雅黑" w:hAnsi="微软雅黑" w:eastAsia="微软雅黑" w:cs="微软雅黑"/>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2025年</w:t>
      </w:r>
      <w:r>
        <w:rPr>
          <w:rFonts w:hint="eastAsia" w:ascii="方正小标宋简体" w:hAnsi="方正小标宋简体" w:eastAsia="方正小标宋简体" w:cs="方正小标宋简体"/>
          <w:b w:val="0"/>
          <w:bCs/>
          <w:color w:val="000000"/>
          <w:sz w:val="44"/>
          <w:szCs w:val="44"/>
        </w:rPr>
        <w:t>主体信用评级项目</w:t>
      </w:r>
    </w:p>
    <w:p w14:paraId="7F71D401">
      <w:pPr>
        <w:jc w:val="center"/>
        <w:rPr>
          <w:rFonts w:hint="default" w:ascii="Times New Roman" w:hAnsi="Times New Roman" w:eastAsia="黑体" w:cs="Times New Roman"/>
          <w:b/>
          <w:sz w:val="72"/>
        </w:rPr>
      </w:pPr>
    </w:p>
    <w:p w14:paraId="6629786A">
      <w:pPr>
        <w:jc w:val="center"/>
        <w:rPr>
          <w:rFonts w:hint="default" w:ascii="Times New Roman" w:hAnsi="Times New Roman" w:eastAsia="黑体" w:cs="Times New Roman"/>
          <w:b/>
          <w:sz w:val="72"/>
        </w:rPr>
      </w:pPr>
    </w:p>
    <w:p w14:paraId="413C6DBC">
      <w:pPr>
        <w:jc w:val="center"/>
        <w:rPr>
          <w:rFonts w:hint="default" w:ascii="Times New Roman" w:hAnsi="Times New Roman" w:eastAsia="黑体" w:cs="Times New Roman"/>
          <w:b/>
          <w:sz w:val="72"/>
        </w:rPr>
      </w:pPr>
    </w:p>
    <w:p w14:paraId="71160187">
      <w:pPr>
        <w:jc w:val="center"/>
        <w:rPr>
          <w:rFonts w:ascii="Times New Roman" w:hAnsi="Times New Roman" w:eastAsia="黑体" w:cs="Times New Roman"/>
          <w:b/>
          <w:sz w:val="72"/>
        </w:rPr>
      </w:pPr>
      <w:r>
        <w:rPr>
          <w:rFonts w:hint="default" w:ascii="Times New Roman" w:hAnsi="Times New Roman" w:eastAsia="黑体" w:cs="Times New Roman"/>
          <w:b/>
          <w:sz w:val="72"/>
        </w:rPr>
        <w:t>比选申请文件</w:t>
      </w:r>
    </w:p>
    <w:p w14:paraId="168D38D8">
      <w:pPr>
        <w:spacing w:before="156" w:beforeLines="50" w:after="156" w:afterLines="50" w:line="360" w:lineRule="auto"/>
        <w:jc w:val="center"/>
        <w:rPr>
          <w:rFonts w:hint="eastAsia" w:ascii="微软雅黑" w:hAnsi="微软雅黑" w:eastAsia="微软雅黑" w:cs="微软雅黑"/>
          <w:b w:val="0"/>
          <w:bCs/>
          <w:color w:val="000000"/>
          <w:sz w:val="44"/>
          <w:szCs w:val="44"/>
        </w:rPr>
      </w:pPr>
    </w:p>
    <w:p w14:paraId="10B4D3A1">
      <w:pPr>
        <w:pStyle w:val="24"/>
        <w:spacing w:line="560" w:lineRule="exact"/>
        <w:ind w:right="4" w:firstLine="1177" w:firstLineChars="490"/>
        <w:rPr>
          <w:rFonts w:ascii="Times New Roman" w:hAnsi="Times New Roman" w:eastAsia="方正仿宋简体" w:cs="Times New Roman"/>
          <w:b/>
          <w:lang w:val="zh-CN"/>
        </w:rPr>
      </w:pPr>
    </w:p>
    <w:p w14:paraId="61A11C17">
      <w:pPr>
        <w:pStyle w:val="24"/>
        <w:spacing w:line="560" w:lineRule="exact"/>
        <w:ind w:right="4" w:firstLine="0" w:firstLineChars="0"/>
        <w:rPr>
          <w:rFonts w:ascii="Times New Roman" w:hAnsi="Times New Roman" w:eastAsia="方正仿宋简体" w:cs="Times New Roman"/>
          <w:b/>
          <w:lang w:val="zh-CN"/>
        </w:rPr>
      </w:pPr>
    </w:p>
    <w:p w14:paraId="0E1BFD57">
      <w:pPr>
        <w:pStyle w:val="24"/>
        <w:spacing w:line="560" w:lineRule="exact"/>
        <w:ind w:right="4" w:firstLine="1177" w:firstLineChars="490"/>
        <w:rPr>
          <w:rFonts w:ascii="Times New Roman" w:hAnsi="Times New Roman" w:eastAsia="方正仿宋简体" w:cs="Times New Roman"/>
          <w:b/>
          <w:lang w:val="zh-CN"/>
        </w:rPr>
      </w:pPr>
    </w:p>
    <w:p w14:paraId="27C13D67">
      <w:pPr>
        <w:spacing w:before="156" w:beforeLines="50" w:after="156" w:afterLines="50"/>
        <w:ind w:firstLine="48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（全称并加盖企业法人公章）</w:t>
      </w:r>
    </w:p>
    <w:p w14:paraId="14759196">
      <w:pPr>
        <w:spacing w:before="156" w:beforeLines="50" w:after="156" w:afterLines="50"/>
        <w:ind w:firstLine="48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（签字/签章）</w:t>
      </w:r>
    </w:p>
    <w:p w14:paraId="77B6D5CB">
      <w:pPr>
        <w:spacing w:before="156" w:beforeLines="50" w:after="156" w:afterLines="50"/>
        <w:ind w:firstLine="480"/>
        <w:jc w:val="center"/>
        <w:rPr>
          <w:rFonts w:hint="eastAsia" w:ascii="仿宋_GB2312" w:hAnsi="仿宋_GB2312" w:eastAsia="仿宋_GB2312" w:cs="仿宋_GB2312"/>
          <w:sz w:val="28"/>
          <w:szCs w:val="28"/>
        </w:rPr>
      </w:pPr>
    </w:p>
    <w:p w14:paraId="4B6E2724">
      <w:pPr>
        <w:spacing w:before="156" w:beforeLines="50" w:after="156" w:afterLines="50"/>
        <w:ind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0B9BE27">
      <w:pPr>
        <w:pStyle w:val="6"/>
        <w:rPr>
          <w:rFonts w:hint="default" w:ascii="Times New Roman" w:hAnsi="Times New Roman" w:cs="Times New Roman"/>
          <w:sz w:val="32"/>
          <w:szCs w:val="32"/>
        </w:rPr>
      </w:pPr>
      <w:bookmarkStart w:id="861" w:name="_Toc427855504"/>
    </w:p>
    <w:p w14:paraId="15255447">
      <w:pPr>
        <w:spacing w:before="260" w:after="260" w:line="600" w:lineRule="exact"/>
        <w:jc w:val="center"/>
        <w:outlineLvl w:val="1"/>
        <w:rPr>
          <w:rFonts w:hint="eastAsia" w:ascii="Times New Roman" w:hAnsi="Times New Roman" w:eastAsia="仿宋_GB2312" w:cs="Times New Roman"/>
          <w:b/>
          <w:sz w:val="32"/>
          <w:szCs w:val="32"/>
          <w:lang w:val="en-US" w:eastAsia="zh-CN"/>
        </w:rPr>
      </w:pPr>
      <w:bookmarkStart w:id="862" w:name="_Toc10457"/>
      <w:bookmarkStart w:id="863" w:name="_Toc31248"/>
      <w:bookmarkStart w:id="864" w:name="_Toc5544"/>
      <w:bookmarkStart w:id="865" w:name="_Toc23"/>
      <w:bookmarkStart w:id="866" w:name="_Toc15194"/>
      <w:bookmarkStart w:id="867" w:name="_Toc15968"/>
      <w:bookmarkStart w:id="868" w:name="_Toc20707"/>
      <w:bookmarkStart w:id="869" w:name="_Toc23222"/>
      <w:bookmarkStart w:id="870" w:name="_Toc8740"/>
      <w:bookmarkStart w:id="871" w:name="_Toc20789"/>
      <w:bookmarkStart w:id="872" w:name="_Toc18029"/>
      <w:bookmarkStart w:id="873" w:name="_Toc20984"/>
      <w:bookmarkStart w:id="874" w:name="_Toc20797"/>
      <w:bookmarkStart w:id="875" w:name="_Toc31898"/>
      <w:bookmarkStart w:id="876" w:name="_Toc12122"/>
      <w:bookmarkStart w:id="877" w:name="_Toc26990"/>
      <w:bookmarkStart w:id="878" w:name="_Toc25726"/>
      <w:bookmarkStart w:id="879" w:name="_Toc27288"/>
      <w:bookmarkStart w:id="880" w:name="_Toc217"/>
      <w:bookmarkStart w:id="881" w:name="_Toc23993"/>
      <w:bookmarkStart w:id="882" w:name="_Toc18018"/>
      <w:bookmarkStart w:id="883" w:name="_Toc2624"/>
      <w:r>
        <w:rPr>
          <w:rFonts w:hint="eastAsia" w:ascii="Times New Roman" w:hAnsi="Times New Roman" w:eastAsia="仿宋_GB2312" w:cs="Times New Roman"/>
          <w:b/>
          <w:sz w:val="32"/>
          <w:szCs w:val="32"/>
          <w:lang w:val="en-US" w:eastAsia="zh-CN"/>
        </w:rPr>
        <w:t>（二）目录</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68EA41F7">
      <w:pPr>
        <w:spacing w:line="560" w:lineRule="exact"/>
        <w:rPr>
          <w:rFonts w:hint="default" w:ascii="Times New Roman" w:hAnsi="Times New Roman" w:eastAsia="仿宋_GB2312" w:cs="Times New Roman"/>
          <w:b/>
          <w:sz w:val="28"/>
          <w:szCs w:val="28"/>
        </w:rPr>
      </w:pPr>
    </w:p>
    <w:p w14:paraId="7DE45276">
      <w:pPr>
        <w:spacing w:line="560" w:lineRule="exact"/>
        <w:rPr>
          <w:rFonts w:hint="default" w:ascii="Times New Roman" w:hAnsi="Times New Roman" w:eastAsia="仿宋_GB2312" w:cs="Times New Roman"/>
          <w:b/>
          <w:sz w:val="28"/>
          <w:szCs w:val="28"/>
        </w:rPr>
      </w:pPr>
    </w:p>
    <w:p w14:paraId="1662420E">
      <w:pPr>
        <w:spacing w:line="560" w:lineRule="exact"/>
        <w:rPr>
          <w:rFonts w:hint="default" w:ascii="Times New Roman" w:hAnsi="Times New Roman" w:eastAsia="仿宋_GB2312" w:cs="Times New Roman"/>
          <w:b/>
          <w:sz w:val="28"/>
          <w:szCs w:val="28"/>
        </w:rPr>
      </w:pPr>
    </w:p>
    <w:p w14:paraId="2CC86908">
      <w:pPr>
        <w:spacing w:line="560" w:lineRule="exact"/>
        <w:rPr>
          <w:rFonts w:hint="default" w:ascii="Times New Roman" w:hAnsi="Times New Roman" w:eastAsia="仿宋_GB2312" w:cs="Times New Roman"/>
          <w:b/>
          <w:sz w:val="28"/>
          <w:szCs w:val="28"/>
        </w:rPr>
      </w:pPr>
    </w:p>
    <w:p w14:paraId="60049D10">
      <w:pPr>
        <w:spacing w:line="560" w:lineRule="exact"/>
        <w:rPr>
          <w:rFonts w:hint="default" w:ascii="Times New Roman" w:hAnsi="Times New Roman" w:eastAsia="仿宋_GB2312" w:cs="Times New Roman"/>
          <w:b/>
          <w:sz w:val="28"/>
          <w:szCs w:val="28"/>
        </w:rPr>
      </w:pPr>
    </w:p>
    <w:p w14:paraId="34D0D3B3">
      <w:pPr>
        <w:spacing w:line="560" w:lineRule="exact"/>
        <w:rPr>
          <w:rFonts w:hint="default" w:ascii="Times New Roman" w:hAnsi="Times New Roman" w:eastAsia="仿宋_GB2312" w:cs="Times New Roman"/>
          <w:b/>
          <w:sz w:val="28"/>
          <w:szCs w:val="28"/>
        </w:rPr>
      </w:pPr>
    </w:p>
    <w:p w14:paraId="7DC93576">
      <w:pPr>
        <w:spacing w:line="560" w:lineRule="exact"/>
        <w:rPr>
          <w:rFonts w:hint="default" w:ascii="Times New Roman" w:hAnsi="Times New Roman" w:eastAsia="仿宋_GB2312" w:cs="Times New Roman"/>
          <w:b/>
          <w:sz w:val="28"/>
          <w:szCs w:val="28"/>
        </w:rPr>
      </w:pPr>
    </w:p>
    <w:p w14:paraId="33833274">
      <w:pPr>
        <w:spacing w:line="560" w:lineRule="exact"/>
        <w:rPr>
          <w:rFonts w:hint="default" w:ascii="Times New Roman" w:hAnsi="Times New Roman" w:eastAsia="仿宋_GB2312" w:cs="Times New Roman"/>
          <w:b/>
          <w:sz w:val="28"/>
          <w:szCs w:val="28"/>
        </w:rPr>
      </w:pPr>
    </w:p>
    <w:p w14:paraId="09CF9AD5">
      <w:pPr>
        <w:spacing w:line="560" w:lineRule="exact"/>
        <w:rPr>
          <w:rFonts w:hint="default" w:ascii="Times New Roman" w:hAnsi="Times New Roman" w:eastAsia="仿宋_GB2312" w:cs="Times New Roman"/>
          <w:b/>
          <w:sz w:val="28"/>
          <w:szCs w:val="28"/>
        </w:rPr>
      </w:pPr>
    </w:p>
    <w:p w14:paraId="7B7739CE">
      <w:pPr>
        <w:spacing w:line="560" w:lineRule="exact"/>
        <w:rPr>
          <w:rFonts w:hint="default" w:ascii="Times New Roman" w:hAnsi="Times New Roman" w:eastAsia="仿宋_GB2312" w:cs="Times New Roman"/>
          <w:b/>
          <w:sz w:val="28"/>
          <w:szCs w:val="28"/>
        </w:rPr>
      </w:pPr>
    </w:p>
    <w:p w14:paraId="66D2F5F7">
      <w:pPr>
        <w:spacing w:line="560" w:lineRule="exact"/>
        <w:rPr>
          <w:rFonts w:hint="default" w:ascii="Times New Roman" w:hAnsi="Times New Roman" w:eastAsia="仿宋_GB2312" w:cs="Times New Roman"/>
          <w:b/>
          <w:sz w:val="28"/>
          <w:szCs w:val="28"/>
        </w:rPr>
      </w:pPr>
    </w:p>
    <w:p w14:paraId="22329FA2">
      <w:pPr>
        <w:spacing w:line="560" w:lineRule="exact"/>
        <w:rPr>
          <w:rFonts w:hint="default" w:ascii="Times New Roman" w:hAnsi="Times New Roman" w:eastAsia="仿宋_GB2312" w:cs="Times New Roman"/>
          <w:b/>
          <w:sz w:val="28"/>
          <w:szCs w:val="28"/>
        </w:rPr>
      </w:pPr>
    </w:p>
    <w:p w14:paraId="5E56D4DF">
      <w:pPr>
        <w:spacing w:line="560" w:lineRule="exact"/>
        <w:rPr>
          <w:rFonts w:hint="default" w:ascii="Times New Roman" w:hAnsi="Times New Roman" w:eastAsia="仿宋_GB2312" w:cs="Times New Roman"/>
          <w:b/>
          <w:sz w:val="28"/>
          <w:szCs w:val="28"/>
        </w:rPr>
      </w:pPr>
    </w:p>
    <w:p w14:paraId="5CA23087">
      <w:pPr>
        <w:spacing w:line="560" w:lineRule="exact"/>
        <w:rPr>
          <w:rFonts w:hint="default" w:ascii="Times New Roman" w:hAnsi="Times New Roman" w:eastAsia="仿宋_GB2312" w:cs="Times New Roman"/>
          <w:b/>
          <w:sz w:val="28"/>
          <w:szCs w:val="28"/>
        </w:rPr>
      </w:pPr>
    </w:p>
    <w:p w14:paraId="7B5A1E97">
      <w:pPr>
        <w:spacing w:line="560" w:lineRule="exact"/>
        <w:rPr>
          <w:rFonts w:hint="default" w:ascii="Times New Roman" w:hAnsi="Times New Roman" w:eastAsia="仿宋_GB2312" w:cs="Times New Roman"/>
          <w:b/>
          <w:sz w:val="28"/>
          <w:szCs w:val="28"/>
        </w:rPr>
      </w:pPr>
    </w:p>
    <w:p w14:paraId="7BB24CC5">
      <w:pPr>
        <w:spacing w:line="560" w:lineRule="exact"/>
        <w:rPr>
          <w:rFonts w:hint="default" w:ascii="Times New Roman" w:hAnsi="Times New Roman" w:eastAsia="仿宋_GB2312" w:cs="Times New Roman"/>
          <w:b/>
          <w:sz w:val="28"/>
          <w:szCs w:val="28"/>
        </w:rPr>
      </w:pPr>
    </w:p>
    <w:p w14:paraId="5DB73C46">
      <w:pPr>
        <w:spacing w:line="560" w:lineRule="exact"/>
        <w:rPr>
          <w:rFonts w:hint="default" w:ascii="Times New Roman" w:hAnsi="Times New Roman" w:eastAsia="仿宋_GB2312" w:cs="Times New Roman"/>
          <w:b/>
          <w:sz w:val="28"/>
          <w:szCs w:val="28"/>
        </w:rPr>
      </w:pPr>
    </w:p>
    <w:p w14:paraId="12EF52AD">
      <w:pPr>
        <w:spacing w:line="560" w:lineRule="exact"/>
        <w:rPr>
          <w:rFonts w:hint="default" w:ascii="Times New Roman" w:hAnsi="Times New Roman" w:eastAsia="仿宋_GB2312" w:cs="Times New Roman"/>
          <w:b/>
          <w:sz w:val="28"/>
          <w:szCs w:val="28"/>
        </w:rPr>
      </w:pPr>
    </w:p>
    <w:p w14:paraId="2118B156">
      <w:pPr>
        <w:spacing w:line="560" w:lineRule="exact"/>
        <w:rPr>
          <w:rFonts w:hint="default" w:ascii="Times New Roman" w:hAnsi="Times New Roman" w:eastAsia="仿宋_GB2312" w:cs="Times New Roman"/>
          <w:b/>
          <w:sz w:val="28"/>
          <w:szCs w:val="28"/>
        </w:rPr>
      </w:pPr>
    </w:p>
    <w:p w14:paraId="4D6D262D">
      <w:pPr>
        <w:spacing w:line="560" w:lineRule="exact"/>
        <w:rPr>
          <w:rFonts w:hint="default" w:ascii="Times New Roman" w:hAnsi="Times New Roman" w:eastAsia="仿宋_GB2312" w:cs="Times New Roman"/>
          <w:b/>
          <w:sz w:val="28"/>
          <w:szCs w:val="28"/>
        </w:rPr>
      </w:pPr>
    </w:p>
    <w:p w14:paraId="76728216">
      <w:pPr>
        <w:spacing w:line="560" w:lineRule="exact"/>
        <w:rPr>
          <w:rFonts w:hint="default" w:ascii="Times New Roman" w:hAnsi="Times New Roman" w:eastAsia="仿宋_GB2312" w:cs="Times New Roman"/>
          <w:b/>
          <w:sz w:val="28"/>
          <w:szCs w:val="28"/>
        </w:rPr>
      </w:pPr>
    </w:p>
    <w:p w14:paraId="46E5239D">
      <w:pPr>
        <w:spacing w:line="560" w:lineRule="exact"/>
        <w:rPr>
          <w:rFonts w:hint="default" w:ascii="Times New Roman" w:hAnsi="Times New Roman" w:eastAsia="仿宋_GB2312" w:cs="Times New Roman"/>
          <w:b/>
          <w:sz w:val="28"/>
          <w:szCs w:val="28"/>
        </w:rPr>
      </w:pPr>
    </w:p>
    <w:p w14:paraId="77A62B84">
      <w:pPr>
        <w:spacing w:line="560" w:lineRule="exact"/>
        <w:rPr>
          <w:rFonts w:hint="default" w:ascii="Times New Roman" w:hAnsi="Times New Roman" w:eastAsia="仿宋_GB2312" w:cs="Times New Roman"/>
          <w:b/>
          <w:sz w:val="28"/>
          <w:szCs w:val="28"/>
        </w:rPr>
      </w:pPr>
    </w:p>
    <w:p w14:paraId="7E821BA5">
      <w:pPr>
        <w:spacing w:before="260" w:after="260" w:line="600" w:lineRule="exact"/>
        <w:jc w:val="center"/>
        <w:outlineLvl w:val="1"/>
        <w:rPr>
          <w:rFonts w:hint="default" w:ascii="Times New Roman" w:hAnsi="Times New Roman" w:eastAsia="仿宋_GB2312" w:cs="Times New Roman"/>
          <w:b/>
          <w:sz w:val="32"/>
          <w:szCs w:val="32"/>
          <w:lang w:eastAsia="zh-CN"/>
        </w:rPr>
      </w:pPr>
      <w:bookmarkStart w:id="884" w:name="_Toc32588"/>
      <w:bookmarkStart w:id="885" w:name="_Toc28882"/>
      <w:bookmarkStart w:id="886" w:name="_Toc23720"/>
      <w:bookmarkStart w:id="887" w:name="_Toc1812"/>
      <w:bookmarkStart w:id="888" w:name="_Toc32373"/>
      <w:bookmarkStart w:id="889" w:name="_Toc10002"/>
      <w:bookmarkStart w:id="890" w:name="_Toc16629"/>
      <w:bookmarkStart w:id="891" w:name="_Toc25962"/>
      <w:bookmarkStart w:id="892" w:name="_Toc3809"/>
      <w:bookmarkStart w:id="893" w:name="_Toc16637"/>
      <w:bookmarkStart w:id="894" w:name="_Toc15149"/>
      <w:bookmarkStart w:id="895" w:name="_Toc29782"/>
      <w:bookmarkStart w:id="896" w:name="_Toc8345"/>
      <w:bookmarkStart w:id="897" w:name="_Toc20512"/>
      <w:bookmarkStart w:id="898" w:name="_Toc11907"/>
      <w:bookmarkStart w:id="899" w:name="_Toc16136"/>
      <w:bookmarkStart w:id="900" w:name="_Toc20250"/>
      <w:bookmarkStart w:id="901" w:name="_Toc23083"/>
      <w:bookmarkStart w:id="902" w:name="_Toc24366"/>
      <w:bookmarkStart w:id="903" w:name="_Toc88"/>
      <w:bookmarkStart w:id="904" w:name="_Toc17034"/>
      <w:bookmarkStart w:id="905" w:name="_Toc16021"/>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三</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eastAsia="zh-CN"/>
        </w:rPr>
        <w:t>比选申请书</w:t>
      </w:r>
      <w:bookmarkEnd w:id="861"/>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08C15C8C">
      <w:pPr>
        <w:spacing w:before="156" w:beforeLines="50" w:after="156" w:afterLines="50" w:line="570" w:lineRule="exact"/>
        <w:ind w:firstLine="482" w:firstLineChars="20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致：</w:t>
      </w:r>
      <w:r>
        <w:rPr>
          <w:rFonts w:hint="eastAsia" w:ascii="仿宋_GB2312" w:hAnsi="仿宋_GB2312" w:eastAsia="仿宋_GB2312" w:cs="仿宋_GB2312"/>
          <w:b/>
          <w:sz w:val="24"/>
          <w:szCs w:val="24"/>
          <w:lang w:eastAsia="zh-CN"/>
        </w:rPr>
        <w:t>四川蜀道铁路运营管理集团有限责任公司</w:t>
      </w:r>
    </w:p>
    <w:p w14:paraId="694BB4A5">
      <w:pPr>
        <w:spacing w:before="156" w:beforeLines="50" w:after="156" w:afterLines="50"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我方确认收到你方提供的</w:t>
      </w:r>
      <w:r>
        <w:rPr>
          <w:rFonts w:hint="eastAsia" w:ascii="仿宋_GB2312" w:hAnsi="仿宋_GB2312" w:eastAsia="仿宋_GB2312" w:cs="仿宋_GB2312"/>
          <w:bCs/>
          <w:sz w:val="24"/>
          <w:szCs w:val="24"/>
          <w:lang w:eastAsia="zh-CN"/>
        </w:rPr>
        <w:t>四川蜀道铁路运营管理集团有限责任公司</w:t>
      </w:r>
      <w:r>
        <w:rPr>
          <w:rFonts w:hint="eastAsia" w:ascii="仿宋_GB2312" w:hAnsi="仿宋_GB2312" w:eastAsia="仿宋_GB2312" w:cs="仿宋_GB2312"/>
          <w:bCs/>
          <w:sz w:val="24"/>
          <w:szCs w:val="24"/>
          <w:highlight w:val="none"/>
          <w:lang w:val="en-US" w:eastAsia="zh-CN"/>
        </w:rPr>
        <w:t>2025年</w:t>
      </w:r>
      <w:r>
        <w:rPr>
          <w:rFonts w:hint="eastAsia" w:ascii="仿宋_GB2312" w:hAnsi="仿宋_GB2312" w:eastAsia="仿宋_GB2312" w:cs="仿宋_GB2312"/>
          <w:bCs/>
          <w:sz w:val="24"/>
          <w:szCs w:val="24"/>
        </w:rPr>
        <w:t>主体信用评级项</w:t>
      </w:r>
      <w:r>
        <w:rPr>
          <w:rFonts w:hint="default" w:ascii="仿宋_GB2312" w:hAnsi="仿宋_GB2312" w:eastAsia="仿宋_GB2312" w:cs="仿宋_GB2312"/>
          <w:bCs/>
          <w:sz w:val="24"/>
          <w:szCs w:val="24"/>
        </w:rPr>
        <w:t>目</w:t>
      </w:r>
      <w:r>
        <w:rPr>
          <w:rFonts w:hint="default" w:ascii="仿宋_GB2312" w:hAnsi="仿宋_GB2312" w:eastAsia="仿宋_GB2312" w:cs="仿宋_GB2312"/>
          <w:sz w:val="24"/>
          <w:szCs w:val="24"/>
        </w:rPr>
        <w:t>评级机构比选文件的全部内容。</w:t>
      </w:r>
    </w:p>
    <w:p w14:paraId="679AB739">
      <w:pPr>
        <w:spacing w:before="156" w:beforeLines="50" w:after="156" w:afterLines="50"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一、我方愿意参加此项目的比选。我方对提交的所有比选申请文件负责。我方授权你方或你方授权代表可对我方进行查询或调查，以证实有关本申请提交的声明、文件和资料的真实性。</w:t>
      </w:r>
    </w:p>
    <w:p w14:paraId="76A7DA3F">
      <w:pPr>
        <w:spacing w:before="156" w:beforeLines="50" w:after="156" w:afterLines="50"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二、我方完全理解比选人因法律和政策原因取消比选以及拒绝所有的比选申请文件，并对此类行动不要求你方承担任何责任。我方在此完全同意并确认你方比选程序、比选结果的公开、公平、公正、合法。</w:t>
      </w:r>
    </w:p>
    <w:p w14:paraId="2B7CA58E">
      <w:pPr>
        <w:tabs>
          <w:tab w:val="left" w:pos="3960"/>
          <w:tab w:val="left" w:pos="5580"/>
        </w:tabs>
        <w:spacing w:before="156" w:beforeLines="50" w:after="156" w:afterLines="50"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7D6B9D0">
      <w:pPr>
        <w:pStyle w:val="8"/>
        <w:spacing w:line="570" w:lineRule="exact"/>
        <w:rPr>
          <w:rFonts w:hint="eastAsia" w:ascii="仿宋_GB2312" w:hAnsi="仿宋_GB2312" w:eastAsia="仿宋_GB2312" w:cs="仿宋_GB2312"/>
          <w:sz w:val="24"/>
          <w:szCs w:val="24"/>
        </w:rPr>
      </w:pPr>
    </w:p>
    <w:p w14:paraId="2628BE58">
      <w:pPr>
        <w:pStyle w:val="6"/>
        <w:spacing w:line="570" w:lineRule="exact"/>
        <w:rPr>
          <w:rFonts w:hint="eastAsia" w:ascii="仿宋_GB2312" w:hAnsi="仿宋_GB2312" w:eastAsia="仿宋_GB2312" w:cs="仿宋_GB2312"/>
          <w:sz w:val="24"/>
          <w:szCs w:val="24"/>
        </w:rPr>
      </w:pPr>
    </w:p>
    <w:p w14:paraId="73B2C6F6">
      <w:pPr>
        <w:pStyle w:val="6"/>
        <w:spacing w:line="570" w:lineRule="exact"/>
        <w:rPr>
          <w:rFonts w:hint="eastAsia" w:ascii="仿宋_GB2312" w:hAnsi="仿宋_GB2312" w:eastAsia="仿宋_GB2312" w:cs="仿宋_GB2312"/>
          <w:sz w:val="24"/>
          <w:szCs w:val="24"/>
        </w:rPr>
      </w:pPr>
    </w:p>
    <w:p w14:paraId="61792A1C">
      <w:pPr>
        <w:spacing w:line="570" w:lineRule="exact"/>
        <w:ind w:left="0" w:firstLine="2400" w:firstLineChars="10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比选申请人：【请填写全称】（盖章）</w:t>
      </w:r>
    </w:p>
    <w:p w14:paraId="47D4C8C7">
      <w:pPr>
        <w:spacing w:line="570" w:lineRule="exact"/>
        <w:ind w:left="0" w:firstLine="3840" w:firstLineChars="1600"/>
        <w:rPr>
          <w:rFonts w:hint="eastAsia" w:ascii="仿宋_GB2312" w:hAnsi="仿宋_GB2312" w:eastAsia="仿宋_GB2312" w:cs="仿宋_GB2312"/>
          <w:sz w:val="24"/>
          <w:szCs w:val="24"/>
          <w:lang w:val="en-US" w:eastAsia="zh-CN"/>
        </w:rPr>
      </w:pPr>
    </w:p>
    <w:p w14:paraId="2722598B">
      <w:pPr>
        <w:spacing w:line="570" w:lineRule="exact"/>
        <w:ind w:left="0" w:firstLine="2880" w:firstLineChars="1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日</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6A674C86">
      <w:pPr>
        <w:tabs>
          <w:tab w:val="left" w:pos="3960"/>
          <w:tab w:val="left" w:pos="5580"/>
        </w:tabs>
        <w:spacing w:before="0" w:beforeLines="0" w:after="0" w:afterLines="0" w:line="560" w:lineRule="exact"/>
        <w:ind w:firstLine="5280" w:firstLineChars="2200"/>
        <w:jc w:val="left"/>
        <w:rPr>
          <w:rFonts w:hint="default" w:ascii="Times New Roman" w:hAnsi="Times New Roman" w:eastAsia="仿宋_GB2312" w:cs="Times New Roman"/>
          <w:sz w:val="24"/>
          <w:szCs w:val="24"/>
        </w:rPr>
      </w:pPr>
    </w:p>
    <w:p w14:paraId="69BBCA3F">
      <w:pPr>
        <w:tabs>
          <w:tab w:val="left" w:pos="3960"/>
          <w:tab w:val="left" w:pos="5580"/>
        </w:tabs>
        <w:spacing w:before="0" w:beforeLines="0" w:after="0" w:afterLines="0" w:line="560" w:lineRule="exact"/>
        <w:ind w:firstLine="5280" w:firstLineChars="2200"/>
        <w:jc w:val="left"/>
        <w:rPr>
          <w:rFonts w:hint="default" w:ascii="Times New Roman" w:hAnsi="Times New Roman" w:eastAsia="仿宋_GB2312" w:cs="Times New Roman"/>
          <w:sz w:val="24"/>
          <w:szCs w:val="24"/>
        </w:rPr>
      </w:pPr>
    </w:p>
    <w:p w14:paraId="7741FF89">
      <w:pPr>
        <w:spacing w:before="260" w:after="260" w:line="600" w:lineRule="exact"/>
        <w:jc w:val="center"/>
        <w:outlineLvl w:val="1"/>
        <w:rPr>
          <w:rFonts w:hint="eastAsia" w:ascii="Times New Roman" w:hAnsi="Times New Roman" w:eastAsia="仿宋_GB2312" w:cs="Times New Roman"/>
          <w:b/>
          <w:sz w:val="32"/>
          <w:szCs w:val="32"/>
          <w:lang w:eastAsia="zh-CN"/>
        </w:rPr>
      </w:pPr>
      <w:bookmarkStart w:id="906" w:name="_Toc32646"/>
    </w:p>
    <w:p w14:paraId="2EE2147B">
      <w:pPr>
        <w:pStyle w:val="16"/>
        <w:rPr>
          <w:rFonts w:hint="eastAsia"/>
          <w:lang w:eastAsia="zh-CN"/>
        </w:rPr>
      </w:pPr>
    </w:p>
    <w:p w14:paraId="16D20221">
      <w:pPr>
        <w:spacing w:before="260" w:after="260" w:line="600" w:lineRule="exact"/>
        <w:jc w:val="center"/>
        <w:outlineLvl w:val="1"/>
        <w:rPr>
          <w:rFonts w:hint="default" w:ascii="Times New Roman" w:hAnsi="Times New Roman" w:eastAsia="仿宋_GB2312" w:cs="Times New Roman"/>
          <w:b/>
          <w:sz w:val="32"/>
          <w:szCs w:val="32"/>
          <w:lang w:eastAsia="zh-CN"/>
        </w:rPr>
      </w:pPr>
      <w:bookmarkStart w:id="907" w:name="_Toc6176"/>
      <w:bookmarkStart w:id="908" w:name="_Toc28220"/>
      <w:bookmarkStart w:id="909" w:name="_Toc26920"/>
      <w:bookmarkStart w:id="910" w:name="_Toc28163"/>
      <w:bookmarkStart w:id="911" w:name="_Toc1167"/>
      <w:bookmarkStart w:id="912" w:name="_Toc1985"/>
      <w:bookmarkStart w:id="913" w:name="_Toc27190"/>
      <w:bookmarkStart w:id="914" w:name="_Toc23872"/>
      <w:bookmarkStart w:id="915" w:name="_Toc19578"/>
      <w:bookmarkStart w:id="916" w:name="_Toc22673"/>
      <w:bookmarkStart w:id="917" w:name="_Toc3958"/>
      <w:bookmarkStart w:id="918" w:name="_Toc24163"/>
      <w:bookmarkStart w:id="919" w:name="_Toc1935"/>
      <w:bookmarkStart w:id="920" w:name="_Toc31191"/>
      <w:bookmarkStart w:id="921" w:name="_Toc23123"/>
      <w:bookmarkStart w:id="922" w:name="_Toc3861"/>
      <w:bookmarkStart w:id="923" w:name="_Toc24269"/>
      <w:bookmarkStart w:id="924" w:name="_Toc25443"/>
      <w:bookmarkStart w:id="925" w:name="_Toc21548"/>
      <w:bookmarkStart w:id="926" w:name="_Toc17206"/>
      <w:bookmarkStart w:id="927" w:name="_Toc25734"/>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四</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eastAsia="zh-CN"/>
        </w:rPr>
        <w:t>比选承诺函</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5A35E836">
      <w:pPr>
        <w:tabs>
          <w:tab w:val="left" w:pos="1036"/>
        </w:tabs>
        <w:adjustRightInd w:val="0"/>
        <w:snapToGrid w:val="0"/>
        <w:spacing w:before="156" w:beforeLines="50" w:after="156" w:afterLines="50" w:line="570" w:lineRule="exact"/>
        <w:ind w:firstLine="482" w:firstLineChars="200"/>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致：</w:t>
      </w:r>
      <w:r>
        <w:rPr>
          <w:rFonts w:hint="eastAsia" w:ascii="仿宋_GB2312" w:hAnsi="仿宋_GB2312" w:eastAsia="仿宋_GB2312" w:cs="仿宋_GB2312"/>
          <w:b/>
          <w:bCs/>
          <w:sz w:val="24"/>
          <w:szCs w:val="24"/>
          <w:lang w:eastAsia="zh-CN"/>
        </w:rPr>
        <w:t>四川蜀道铁路运营管理集团有限责任公司</w:t>
      </w:r>
    </w:p>
    <w:p w14:paraId="04EA1958">
      <w:pPr>
        <w:spacing w:before="156" w:beforeLines="50" w:after="156" w:afterLines="50"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我方已仔细研究了</w:t>
      </w:r>
      <w:r>
        <w:rPr>
          <w:rFonts w:hint="eastAsia" w:ascii="仿宋_GB2312" w:hAnsi="仿宋_GB2312" w:eastAsia="仿宋_GB2312" w:cs="仿宋_GB2312"/>
          <w:bCs/>
          <w:sz w:val="24"/>
          <w:szCs w:val="24"/>
          <w:lang w:eastAsia="zh-CN"/>
        </w:rPr>
        <w:t>四川蜀道铁路运营管理集团有限责任公司</w:t>
      </w:r>
      <w:r>
        <w:rPr>
          <w:rFonts w:hint="eastAsia" w:ascii="仿宋_GB2312" w:hAnsi="仿宋_GB2312" w:eastAsia="仿宋_GB2312" w:cs="仿宋_GB2312"/>
          <w:bCs/>
          <w:sz w:val="24"/>
          <w:szCs w:val="24"/>
          <w:lang w:val="en-US" w:eastAsia="zh-CN"/>
        </w:rPr>
        <w:t>2025年</w:t>
      </w:r>
      <w:r>
        <w:rPr>
          <w:rFonts w:hint="eastAsia" w:ascii="仿宋_GB2312" w:hAnsi="仿宋_GB2312" w:eastAsia="仿宋_GB2312" w:cs="仿宋_GB2312"/>
          <w:sz w:val="24"/>
          <w:szCs w:val="24"/>
        </w:rPr>
        <w:t>主体信用评级项目</w:t>
      </w:r>
      <w:r>
        <w:rPr>
          <w:rFonts w:hint="eastAsia" w:ascii="仿宋_GB2312" w:hAnsi="仿宋_GB2312" w:eastAsia="仿宋_GB2312" w:cs="仿宋_GB2312"/>
          <w:sz w:val="24"/>
          <w:szCs w:val="24"/>
          <w:lang w:val="en-US" w:eastAsia="zh-CN"/>
        </w:rPr>
        <w:t>评级机构</w:t>
      </w:r>
      <w:r>
        <w:rPr>
          <w:rFonts w:hint="eastAsia" w:ascii="仿宋_GB2312" w:hAnsi="仿宋_GB2312" w:eastAsia="仿宋_GB2312" w:cs="仿宋_GB2312"/>
          <w:sz w:val="24"/>
          <w:szCs w:val="24"/>
        </w:rPr>
        <w:t>比选文件的全部内容，我方为响应本次比选文件内容，现对以下事项做出承诺：</w:t>
      </w:r>
    </w:p>
    <w:p w14:paraId="7AF20B7D">
      <w:pPr>
        <w:snapToGrid w:val="0"/>
        <w:spacing w:before="0" w:beforeLines="-2147483648" w:after="0" w:afterLines="-2147483648" w:line="57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企业为依法注册、合法运作的专业评级机构；本企业依法开展经营活动，在申请比选时，不处于被监管机构暂停评级业务期间；本企业内部管理规范、内控制度健全，具备良好的社会诚信，没有被任何信用机构列入失信名单，没有被列为失信被执行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highlight w:val="none"/>
          <w:lang w:val="en-US" w:eastAsia="zh-CN"/>
        </w:rPr>
        <w:t>本企业经营活动符合</w:t>
      </w:r>
      <w:r>
        <w:rPr>
          <w:rFonts w:hint="eastAsia" w:ascii="仿宋_GB2312" w:hAnsi="仿宋_GB2312" w:eastAsia="仿宋_GB2312" w:cs="仿宋_GB2312"/>
          <w:color w:val="000000"/>
          <w:sz w:val="24"/>
          <w:szCs w:val="24"/>
          <w:highlight w:val="none"/>
        </w:rPr>
        <w:t>法律、行政法规、规范性文件及自律规范规定的</w:t>
      </w:r>
      <w:r>
        <w:rPr>
          <w:rFonts w:hint="eastAsia" w:ascii="仿宋_GB2312" w:hAnsi="仿宋_GB2312" w:eastAsia="仿宋_GB2312" w:cs="仿宋_GB2312"/>
          <w:color w:val="000000"/>
          <w:sz w:val="24"/>
          <w:szCs w:val="24"/>
          <w:highlight w:val="none"/>
          <w:lang w:val="en-US" w:eastAsia="zh-CN"/>
        </w:rPr>
        <w:t>系列条件</w:t>
      </w:r>
      <w:r>
        <w:rPr>
          <w:rFonts w:hint="eastAsia" w:ascii="仿宋_GB2312" w:hAnsi="仿宋_GB2312" w:eastAsia="仿宋_GB2312" w:cs="仿宋_GB2312"/>
          <w:color w:val="000000"/>
          <w:sz w:val="24"/>
          <w:szCs w:val="24"/>
          <w:highlight w:val="none"/>
        </w:rPr>
        <w:t>。</w:t>
      </w:r>
    </w:p>
    <w:p w14:paraId="4BF76E73">
      <w:pPr>
        <w:spacing w:before="156" w:beforeLines="50" w:after="156" w:afterLines="50" w:line="57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本单位如中选，保证履行比选文件的承诺与贵方签订</w:t>
      </w:r>
      <w:r>
        <w:rPr>
          <w:rFonts w:hint="eastAsia" w:ascii="仿宋_GB2312" w:hAnsi="仿宋_GB2312" w:eastAsia="仿宋_GB2312" w:cs="仿宋_GB2312"/>
          <w:color w:val="000000"/>
          <w:sz w:val="24"/>
          <w:szCs w:val="24"/>
          <w:lang w:val="en-US" w:eastAsia="zh-CN"/>
        </w:rPr>
        <w:t>主体</w:t>
      </w:r>
      <w:r>
        <w:rPr>
          <w:rFonts w:hint="eastAsia" w:ascii="仿宋_GB2312" w:hAnsi="仿宋_GB2312" w:eastAsia="仿宋_GB2312" w:cs="仿宋_GB2312"/>
          <w:color w:val="000000"/>
          <w:sz w:val="24"/>
          <w:szCs w:val="24"/>
        </w:rPr>
        <w:t>评级服务协议，保证履行合同条款</w:t>
      </w:r>
      <w:r>
        <w:rPr>
          <w:rFonts w:hint="eastAsia" w:ascii="仿宋_GB2312" w:hAnsi="仿宋_GB2312" w:eastAsia="仿宋_GB2312" w:cs="仿宋_GB2312"/>
          <w:sz w:val="24"/>
          <w:szCs w:val="24"/>
        </w:rPr>
        <w:t>。</w:t>
      </w:r>
    </w:p>
    <w:p w14:paraId="147CAD65">
      <w:pPr>
        <w:spacing w:before="156" w:beforeLines="50" w:after="156" w:afterLines="50"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我方对你方比选文件的全部内容已理解，并完全同意、完全响应。</w:t>
      </w:r>
    </w:p>
    <w:p w14:paraId="0023650F">
      <w:pPr>
        <w:spacing w:before="156" w:beforeLines="50" w:after="156" w:afterLines="50" w:line="57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本承诺函所含的我方承诺为无条件、不可撤销之承诺。</w:t>
      </w:r>
    </w:p>
    <w:p w14:paraId="46C5EDD4">
      <w:pPr>
        <w:spacing w:before="156" w:beforeLines="50" w:after="156" w:afterLines="50" w:line="570" w:lineRule="exact"/>
        <w:ind w:firstLine="480" w:firstLineChars="200"/>
        <w:rPr>
          <w:rFonts w:hint="eastAsia" w:ascii="仿宋_GB2312" w:hAnsi="仿宋_GB2312" w:eastAsia="仿宋_GB2312" w:cs="仿宋_GB2312"/>
          <w:sz w:val="24"/>
          <w:szCs w:val="24"/>
        </w:rPr>
      </w:pPr>
    </w:p>
    <w:p w14:paraId="15248C51">
      <w:pPr>
        <w:pStyle w:val="8"/>
        <w:spacing w:line="570" w:lineRule="exact"/>
        <w:rPr>
          <w:rFonts w:hint="eastAsia" w:ascii="仿宋_GB2312" w:hAnsi="仿宋_GB2312" w:eastAsia="仿宋_GB2312" w:cs="仿宋_GB2312"/>
          <w:sz w:val="24"/>
          <w:szCs w:val="24"/>
        </w:rPr>
      </w:pPr>
    </w:p>
    <w:p w14:paraId="4B6E5EF6">
      <w:pPr>
        <w:spacing w:line="570" w:lineRule="exact"/>
        <w:ind w:left="0" w:firstLine="2160" w:firstLineChars="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比选申请人：【请填写全称】（盖章）</w:t>
      </w:r>
    </w:p>
    <w:p w14:paraId="55CBCAC5">
      <w:pPr>
        <w:spacing w:line="570" w:lineRule="exact"/>
        <w:ind w:left="0" w:firstLine="3840" w:firstLineChars="1600"/>
        <w:rPr>
          <w:rFonts w:hint="eastAsia" w:ascii="仿宋_GB2312" w:hAnsi="仿宋_GB2312" w:eastAsia="仿宋_GB2312" w:cs="仿宋_GB2312"/>
          <w:sz w:val="24"/>
          <w:szCs w:val="24"/>
          <w:lang w:val="en-US" w:eastAsia="zh-CN"/>
        </w:rPr>
      </w:pPr>
    </w:p>
    <w:p w14:paraId="3076F244">
      <w:pPr>
        <w:spacing w:line="570" w:lineRule="exact"/>
        <w:ind w:left="0" w:firstLine="2400" w:firstLineChars="10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日</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61DF040D">
      <w:pPr>
        <w:spacing w:before="260" w:after="260" w:line="600" w:lineRule="exact"/>
        <w:jc w:val="both"/>
        <w:outlineLvl w:val="1"/>
        <w:rPr>
          <w:rFonts w:hint="eastAsia" w:ascii="Times New Roman" w:hAnsi="Times New Roman" w:eastAsia="仿宋_GB2312" w:cs="Times New Roman"/>
          <w:b/>
          <w:sz w:val="32"/>
          <w:szCs w:val="32"/>
          <w:lang w:val="en-US" w:eastAsia="zh-CN"/>
        </w:rPr>
      </w:pPr>
      <w:bookmarkStart w:id="928" w:name="_Toc22073"/>
    </w:p>
    <w:p w14:paraId="1F1E728C">
      <w:pPr>
        <w:pStyle w:val="16"/>
        <w:rPr>
          <w:rFonts w:hint="eastAsia"/>
          <w:lang w:val="en-US" w:eastAsia="zh-CN"/>
        </w:rPr>
      </w:pPr>
    </w:p>
    <w:p w14:paraId="61932859">
      <w:pPr>
        <w:spacing w:before="260" w:after="260" w:line="600" w:lineRule="exact"/>
        <w:jc w:val="center"/>
        <w:outlineLvl w:val="1"/>
        <w:rPr>
          <w:rFonts w:hint="eastAsia" w:ascii="Times New Roman" w:hAnsi="Times New Roman" w:eastAsia="仿宋_GB2312" w:cs="Times New Roman"/>
          <w:b/>
          <w:sz w:val="32"/>
          <w:szCs w:val="32"/>
          <w:lang w:eastAsia="zh-CN"/>
        </w:rPr>
      </w:pPr>
      <w:bookmarkStart w:id="929" w:name="_Toc20940"/>
      <w:bookmarkStart w:id="930" w:name="_Toc16353"/>
      <w:bookmarkStart w:id="931" w:name="_Toc9495"/>
      <w:bookmarkStart w:id="932" w:name="_Toc19514"/>
      <w:bookmarkStart w:id="933" w:name="_Toc2885"/>
      <w:bookmarkStart w:id="934" w:name="_Toc16432"/>
      <w:bookmarkStart w:id="935" w:name="_Toc6896"/>
      <w:bookmarkStart w:id="936" w:name="_Toc18513"/>
      <w:bookmarkStart w:id="937" w:name="_Toc12628"/>
      <w:bookmarkStart w:id="938" w:name="_Toc32194"/>
      <w:bookmarkStart w:id="939" w:name="_Toc21709"/>
      <w:bookmarkStart w:id="940" w:name="_Toc8090"/>
      <w:bookmarkStart w:id="941" w:name="_Toc23196"/>
      <w:bookmarkStart w:id="942" w:name="_Toc25884"/>
      <w:bookmarkStart w:id="943" w:name="_Toc4961"/>
      <w:bookmarkStart w:id="944" w:name="_Toc21949"/>
      <w:bookmarkStart w:id="945" w:name="_Toc12012"/>
      <w:bookmarkStart w:id="946" w:name="_Toc24653"/>
      <w:bookmarkStart w:id="947" w:name="_Toc17175"/>
      <w:bookmarkStart w:id="948" w:name="_Toc28402"/>
      <w:bookmarkStart w:id="949" w:name="_Toc2343"/>
      <w:r>
        <w:rPr>
          <w:rFonts w:hint="eastAsia" w:ascii="Times New Roman" w:hAnsi="Times New Roman" w:eastAsia="仿宋_GB2312" w:cs="Times New Roman"/>
          <w:b/>
          <w:sz w:val="32"/>
          <w:szCs w:val="32"/>
          <w:lang w:val="en-US" w:eastAsia="zh-CN"/>
        </w:rPr>
        <w:t>（五）法定代表人</w:t>
      </w:r>
      <w:r>
        <w:rPr>
          <w:rFonts w:hint="default" w:ascii="Times New Roman" w:hAnsi="Times New Roman" w:eastAsia="仿宋_GB2312" w:cs="Times New Roman"/>
          <w:b/>
          <w:sz w:val="32"/>
          <w:szCs w:val="32"/>
          <w:lang w:eastAsia="zh-CN"/>
        </w:rPr>
        <w:t>授权书</w:t>
      </w:r>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如有</w:t>
      </w:r>
      <w:r>
        <w:rPr>
          <w:rFonts w:hint="eastAsia" w:ascii="Times New Roman" w:hAnsi="Times New Roman" w:eastAsia="仿宋_GB2312" w:cs="Times New Roman"/>
          <w:b/>
          <w:sz w:val="32"/>
          <w:szCs w:val="32"/>
          <w:lang w:eastAsia="zh-CN"/>
        </w:rPr>
        <w:t>）</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17970705">
      <w:pPr>
        <w:spacing w:before="156" w:beforeLines="50" w:after="156" w:afterLines="50" w:line="360" w:lineRule="auto"/>
        <w:ind w:firstLine="482" w:firstLineChars="200"/>
        <w:rPr>
          <w:rFonts w:hint="eastAsia" w:ascii="仿宋_GB2312" w:hAnsi="仿宋_GB2312" w:eastAsia="仿宋_GB2312" w:cs="仿宋_GB2312"/>
          <w:b/>
          <w:sz w:val="24"/>
          <w:szCs w:val="24"/>
          <w:u w:val="single"/>
          <w:lang w:eastAsia="zh-CN"/>
        </w:rPr>
      </w:pPr>
      <w:r>
        <w:rPr>
          <w:rFonts w:hint="eastAsia" w:ascii="仿宋_GB2312" w:hAnsi="仿宋_GB2312" w:eastAsia="仿宋_GB2312" w:cs="仿宋_GB2312"/>
          <w:b/>
          <w:sz w:val="24"/>
          <w:szCs w:val="24"/>
        </w:rPr>
        <w:t>致：</w:t>
      </w:r>
      <w:r>
        <w:rPr>
          <w:rFonts w:hint="eastAsia" w:ascii="仿宋_GB2312" w:hAnsi="仿宋_GB2312" w:eastAsia="仿宋_GB2312" w:cs="仿宋_GB2312"/>
          <w:b/>
          <w:sz w:val="24"/>
          <w:szCs w:val="24"/>
          <w:lang w:eastAsia="zh-CN"/>
        </w:rPr>
        <w:t>四川蜀道铁路运营管理集团有限责任公司</w:t>
      </w:r>
    </w:p>
    <w:p w14:paraId="44CD455F">
      <w:pPr>
        <w:spacing w:before="156" w:beforeLines="50" w:after="0" w:afterLines="0"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本授权书声明：注册于</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rPr>
        <w:t>国家或地区</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rPr>
        <w:t>参选机构全称</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rPr>
        <w:t>愿意参加</w:t>
      </w:r>
      <w:r>
        <w:rPr>
          <w:rFonts w:hint="eastAsia" w:ascii="仿宋_GB2312" w:hAnsi="仿宋_GB2312" w:eastAsia="仿宋_GB2312" w:cs="仿宋_GB2312"/>
          <w:bCs w:val="0"/>
          <w:sz w:val="24"/>
          <w:szCs w:val="24"/>
          <w:lang w:eastAsia="zh-CN"/>
        </w:rPr>
        <w:t>四川蜀道铁路运营管理集团有限责任公司</w:t>
      </w:r>
      <w:r>
        <w:rPr>
          <w:rFonts w:hint="eastAsia" w:ascii="仿宋_GB2312" w:hAnsi="仿宋_GB2312" w:eastAsia="仿宋_GB2312" w:cs="仿宋_GB2312"/>
          <w:bCs w:val="0"/>
          <w:sz w:val="24"/>
          <w:szCs w:val="24"/>
          <w:highlight w:val="none"/>
          <w:lang w:val="en-US" w:eastAsia="zh-CN"/>
        </w:rPr>
        <w:t>2025年</w:t>
      </w:r>
      <w:r>
        <w:rPr>
          <w:rFonts w:hint="eastAsia" w:ascii="仿宋_GB2312" w:hAnsi="仿宋_GB2312" w:eastAsia="仿宋_GB2312" w:cs="仿宋_GB2312"/>
          <w:sz w:val="24"/>
          <w:szCs w:val="24"/>
          <w:highlight w:val="none"/>
        </w:rPr>
        <w:t>主体信用评级项目评级机构比选活动。我方现</w:t>
      </w:r>
      <w:r>
        <w:rPr>
          <w:rFonts w:hint="eastAsia" w:ascii="仿宋_GB2312" w:hAnsi="仿宋_GB2312" w:eastAsia="仿宋_GB2312" w:cs="仿宋_GB2312"/>
          <w:sz w:val="24"/>
          <w:szCs w:val="24"/>
          <w:highlight w:val="none"/>
          <w:lang w:val="en-US" w:eastAsia="zh-CN"/>
        </w:rPr>
        <w:t>由</w:t>
      </w:r>
      <w:r>
        <w:rPr>
          <w:rFonts w:hint="eastAsia" w:ascii="仿宋_GB2312" w:hAnsi="仿宋_GB2312" w:eastAsia="仿宋_GB2312" w:cs="仿宋_GB2312"/>
          <w:sz w:val="24"/>
          <w:szCs w:val="24"/>
          <w:highlight w:val="none"/>
        </w:rPr>
        <w:t>在下面签字的</w:t>
      </w:r>
      <w:r>
        <w:rPr>
          <w:rFonts w:hint="eastAsia" w:ascii="仿宋_GB2312" w:hAnsi="仿宋_GB2312" w:eastAsia="仿宋_GB2312" w:cs="仿宋_GB2312"/>
          <w:sz w:val="24"/>
          <w:szCs w:val="24"/>
          <w:highlight w:val="none"/>
          <w:u w:val="none"/>
        </w:rPr>
        <w:t xml:space="preserve">      </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lang w:val="en-US" w:eastAsia="zh-CN"/>
        </w:rPr>
        <w:t>法定代表</w:t>
      </w:r>
      <w:r>
        <w:rPr>
          <w:rFonts w:hint="eastAsia" w:ascii="仿宋_GB2312" w:hAnsi="仿宋_GB2312" w:eastAsia="仿宋_GB2312" w:cs="仿宋_GB2312"/>
          <w:sz w:val="24"/>
          <w:szCs w:val="24"/>
          <w:highlight w:val="none"/>
        </w:rPr>
        <w:t>人姓名、职务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身份证号</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rPr>
        <w:t>代表本单位授权在下面签字的</w:t>
      </w:r>
      <w:r>
        <w:rPr>
          <w:rFonts w:hint="eastAsia" w:ascii="仿宋_GB2312" w:hAnsi="仿宋_GB2312" w:eastAsia="仿宋_GB2312" w:cs="仿宋_GB2312"/>
          <w:sz w:val="24"/>
          <w:szCs w:val="24"/>
          <w:highlight w:val="none"/>
          <w:u w:val="none"/>
        </w:rPr>
        <w:t xml:space="preserve">     </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rPr>
        <w:t>委托代理人姓名、职务</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身份证号</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rPr>
        <w:t>为本单位的合法代表人，就</w:t>
      </w:r>
      <w:r>
        <w:rPr>
          <w:rFonts w:hint="eastAsia" w:ascii="仿宋_GB2312" w:hAnsi="仿宋_GB2312" w:eastAsia="仿宋_GB2312" w:cs="仿宋_GB2312"/>
          <w:sz w:val="24"/>
          <w:szCs w:val="24"/>
          <w:highlight w:val="none"/>
          <w:lang w:eastAsia="zh-CN"/>
        </w:rPr>
        <w:t>四川蜀道铁路运营管理集团有限责任公司</w:t>
      </w:r>
      <w:r>
        <w:rPr>
          <w:rFonts w:hint="eastAsia" w:ascii="仿宋_GB2312" w:hAnsi="仿宋_GB2312" w:eastAsia="仿宋_GB2312" w:cs="仿宋_GB2312"/>
          <w:bCs w:val="0"/>
          <w:sz w:val="24"/>
          <w:szCs w:val="24"/>
          <w:highlight w:val="none"/>
          <w:lang w:val="en-US" w:eastAsia="zh-CN"/>
        </w:rPr>
        <w:t>2025</w:t>
      </w:r>
      <w:r>
        <w:rPr>
          <w:rFonts w:hint="eastAsia" w:ascii="仿宋_GB2312" w:hAnsi="仿宋_GB2312" w:eastAsia="仿宋_GB2312" w:cs="仿宋_GB2312"/>
          <w:bCs w:val="0"/>
          <w:sz w:val="24"/>
          <w:szCs w:val="24"/>
          <w:lang w:val="en-US" w:eastAsia="zh-CN"/>
        </w:rPr>
        <w:t>年</w:t>
      </w:r>
      <w:r>
        <w:rPr>
          <w:rFonts w:hint="eastAsia" w:ascii="仿宋_GB2312" w:hAnsi="仿宋_GB2312" w:eastAsia="仿宋_GB2312" w:cs="仿宋_GB2312"/>
          <w:sz w:val="24"/>
          <w:szCs w:val="24"/>
        </w:rPr>
        <w:t>主体信用评级项目评级机构比选</w:t>
      </w:r>
      <w:r>
        <w:rPr>
          <w:rFonts w:hint="eastAsia" w:ascii="仿宋_GB2312" w:hAnsi="仿宋_GB2312" w:eastAsia="仿宋_GB2312" w:cs="仿宋_GB2312"/>
          <w:sz w:val="24"/>
          <w:szCs w:val="24"/>
          <w:lang w:val="en-US" w:eastAsia="zh-CN"/>
        </w:rPr>
        <w:t>活动</w:t>
      </w:r>
      <w:r>
        <w:rPr>
          <w:rFonts w:hint="eastAsia" w:ascii="仿宋_GB2312" w:hAnsi="仿宋_GB2312" w:eastAsia="仿宋_GB2312" w:cs="仿宋_GB2312"/>
          <w:sz w:val="24"/>
          <w:szCs w:val="24"/>
        </w:rPr>
        <w:t>，以我方的名义处理一切与之有关的事宜。</w:t>
      </w:r>
    </w:p>
    <w:p w14:paraId="79C7AFF9">
      <w:pPr>
        <w:spacing w:before="0" w:beforeLines="0" w:after="0" w:afterLines="0"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rPr>
        <w:t>日签字生效，比选被委托人无转委托权，特此声明。</w:t>
      </w:r>
    </w:p>
    <w:p w14:paraId="1C949D50">
      <w:pPr>
        <w:spacing w:before="0" w:beforeLines="0" w:after="0" w:afterLines="0"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附：法定代表人和委托代理人身份证影印件（黑白或彩色）或清晰可辨的复印件并加盖公章。</w:t>
      </w:r>
    </w:p>
    <w:p w14:paraId="2487C0F2">
      <w:pPr>
        <w:spacing w:before="156" w:beforeLines="50" w:after="0" w:afterLines="0" w:line="360" w:lineRule="auto"/>
        <w:ind w:firstLine="480" w:firstLineChars="200"/>
        <w:jc w:val="right"/>
        <w:rPr>
          <w:rFonts w:hint="eastAsia" w:ascii="仿宋_GB2312" w:hAnsi="仿宋_GB2312" w:eastAsia="仿宋_GB2312" w:cs="仿宋_GB2312"/>
          <w:sz w:val="24"/>
          <w:szCs w:val="24"/>
          <w:highlight w:val="none"/>
        </w:rPr>
      </w:pPr>
    </w:p>
    <w:p w14:paraId="5111C1AF">
      <w:pPr>
        <w:spacing w:before="156" w:beforeLines="50" w:after="0" w:afterLines="0" w:line="360" w:lineRule="auto"/>
        <w:ind w:firstLine="480" w:firstLineChars="200"/>
        <w:jc w:val="right"/>
        <w:rPr>
          <w:rFonts w:hint="eastAsia" w:ascii="仿宋_GB2312" w:hAnsi="仿宋_GB2312" w:eastAsia="仿宋_GB2312" w:cs="仿宋_GB2312"/>
          <w:sz w:val="24"/>
          <w:szCs w:val="24"/>
          <w:highlight w:val="none"/>
        </w:rPr>
      </w:pPr>
    </w:p>
    <w:p w14:paraId="2C6998D4">
      <w:pPr>
        <w:spacing w:before="156" w:beforeLines="50" w:afterLines="0" w:line="360" w:lineRule="auto"/>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比选申请人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【请填写全称】（</w:t>
      </w:r>
      <w:r>
        <w:rPr>
          <w:rFonts w:hint="eastAsia" w:ascii="仿宋_GB2312" w:hAnsi="仿宋_GB2312" w:eastAsia="仿宋_GB2312" w:cs="仿宋_GB2312"/>
          <w:sz w:val="24"/>
          <w:szCs w:val="24"/>
          <w:lang w:val="en-US" w:eastAsia="zh-CN"/>
        </w:rPr>
        <w:t>盖</w:t>
      </w:r>
      <w:r>
        <w:rPr>
          <w:rFonts w:hint="eastAsia" w:ascii="仿宋_GB2312" w:hAnsi="仿宋_GB2312" w:eastAsia="仿宋_GB2312" w:cs="仿宋_GB2312"/>
          <w:sz w:val="24"/>
          <w:szCs w:val="24"/>
        </w:rPr>
        <w:t>章）</w:t>
      </w:r>
    </w:p>
    <w:p w14:paraId="46720847">
      <w:pPr>
        <w:spacing w:before="156" w:beforeLines="50" w:afterLines="0" w:line="360" w:lineRule="auto"/>
        <w:ind w:firstLine="3600" w:firstLineChars="15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址：</w:t>
      </w:r>
    </w:p>
    <w:p w14:paraId="2BB7530A">
      <w:pPr>
        <w:spacing w:before="156" w:beforeLines="50" w:afterLines="0" w:line="360" w:lineRule="auto"/>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签字或盖章</w:t>
      </w:r>
      <w:r>
        <w:rPr>
          <w:rFonts w:hint="eastAsia" w:ascii="仿宋_GB2312" w:hAnsi="仿宋_GB2312" w:eastAsia="仿宋_GB2312" w:cs="仿宋_GB2312"/>
          <w:sz w:val="24"/>
          <w:szCs w:val="24"/>
          <w:lang w:eastAsia="zh-CN"/>
        </w:rPr>
        <w:t>）</w:t>
      </w:r>
    </w:p>
    <w:p w14:paraId="04639844">
      <w:pPr>
        <w:spacing w:before="156" w:beforeLines="50" w:afterLines="0" w:line="360" w:lineRule="auto"/>
        <w:ind w:firstLine="3600" w:firstLineChars="15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职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务：</w:t>
      </w:r>
    </w:p>
    <w:p w14:paraId="348F354C">
      <w:pPr>
        <w:spacing w:before="156" w:beforeLines="50" w:afterLines="0" w:line="360" w:lineRule="auto"/>
        <w:ind w:firstLine="3600" w:firstLineChars="15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身份证号：</w:t>
      </w:r>
    </w:p>
    <w:p w14:paraId="6A26E2D7">
      <w:pPr>
        <w:spacing w:before="156" w:beforeLines="50" w:afterLines="0" w:line="360" w:lineRule="auto"/>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委托代理</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签字或盖章</w:t>
      </w:r>
      <w:r>
        <w:rPr>
          <w:rFonts w:hint="eastAsia" w:ascii="仿宋_GB2312" w:hAnsi="仿宋_GB2312" w:eastAsia="仿宋_GB2312" w:cs="仿宋_GB2312"/>
          <w:sz w:val="24"/>
          <w:szCs w:val="24"/>
          <w:lang w:eastAsia="zh-CN"/>
        </w:rPr>
        <w:t>）</w:t>
      </w:r>
    </w:p>
    <w:p w14:paraId="3A7BEDEE">
      <w:pPr>
        <w:spacing w:before="156" w:beforeLines="50" w:afterLines="0" w:line="360" w:lineRule="auto"/>
        <w:ind w:firstLine="3600" w:firstLineChars="15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职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务：</w:t>
      </w:r>
    </w:p>
    <w:p w14:paraId="72B09F56">
      <w:pPr>
        <w:spacing w:before="156" w:beforeLines="50" w:afterLines="0" w:line="360" w:lineRule="auto"/>
        <w:ind w:firstLine="3600" w:firstLineChars="15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身份证号：</w:t>
      </w:r>
    </w:p>
    <w:p w14:paraId="7072D17A">
      <w:pPr>
        <w:spacing w:before="156" w:beforeLines="50" w:afterLines="0" w:line="360" w:lineRule="auto"/>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060CC4CB">
      <w:pPr>
        <w:spacing w:before="260" w:after="260" w:line="600" w:lineRule="exact"/>
        <w:jc w:val="both"/>
        <w:outlineLvl w:val="1"/>
        <w:rPr>
          <w:rFonts w:hint="eastAsia" w:ascii="Times New Roman" w:hAnsi="Times New Roman" w:eastAsia="仿宋_GB2312" w:cs="Times New Roman"/>
          <w:b/>
          <w:sz w:val="28"/>
          <w:szCs w:val="28"/>
          <w:lang w:eastAsia="zh-CN"/>
        </w:rPr>
      </w:pPr>
    </w:p>
    <w:p w14:paraId="4E9659F3">
      <w:pPr>
        <w:spacing w:before="260" w:after="260" w:line="600" w:lineRule="exact"/>
        <w:jc w:val="center"/>
        <w:outlineLvl w:val="1"/>
        <w:rPr>
          <w:rFonts w:hint="default" w:ascii="Times New Roman" w:hAnsi="Times New Roman" w:eastAsia="仿宋_GB2312" w:cs="Times New Roman"/>
          <w:b/>
          <w:sz w:val="32"/>
          <w:szCs w:val="32"/>
          <w:lang w:eastAsia="zh-CN"/>
        </w:rPr>
      </w:pPr>
      <w:bookmarkStart w:id="950" w:name="_Toc15097"/>
      <w:bookmarkStart w:id="951" w:name="_Toc18608"/>
      <w:bookmarkStart w:id="952" w:name="_Toc33"/>
      <w:bookmarkStart w:id="953" w:name="_Toc7803"/>
      <w:bookmarkStart w:id="954" w:name="_Toc1511"/>
      <w:bookmarkStart w:id="955" w:name="_Toc12597"/>
      <w:bookmarkStart w:id="956" w:name="_Toc13420"/>
      <w:bookmarkStart w:id="957" w:name="_Toc28270"/>
      <w:bookmarkStart w:id="958" w:name="_Toc7993"/>
      <w:bookmarkStart w:id="959" w:name="_Toc15137"/>
      <w:bookmarkStart w:id="960" w:name="_Toc26113"/>
      <w:bookmarkStart w:id="961" w:name="_Toc22566"/>
      <w:bookmarkStart w:id="962" w:name="_Toc12745"/>
      <w:bookmarkStart w:id="963" w:name="_Toc9169"/>
      <w:bookmarkStart w:id="964" w:name="_Toc24764"/>
      <w:bookmarkStart w:id="965" w:name="_Toc32727"/>
      <w:bookmarkStart w:id="966" w:name="_Toc4199"/>
      <w:bookmarkStart w:id="967" w:name="_Toc13857"/>
      <w:bookmarkStart w:id="968" w:name="_Toc17375"/>
      <w:bookmarkStart w:id="969" w:name="_Toc9489"/>
      <w:bookmarkStart w:id="970" w:name="_Toc31312"/>
      <w:bookmarkStart w:id="971" w:name="_Toc13191"/>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六</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eastAsia="zh-CN"/>
        </w:rPr>
        <w:t>主体资格证明文件</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4BA36358">
      <w:pPr>
        <w:spacing w:line="360" w:lineRule="auto"/>
        <w:ind w:firstLine="0" w:firstLineChars="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（营业执照正本复印件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“信用中国”网站（http：//www.creditchina.gov.cn/）</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国家企业信用信息公示系(http://www.gsxt. gov.cn/)</w:t>
      </w:r>
      <w:r>
        <w:rPr>
          <w:rFonts w:hint="eastAsia" w:ascii="仿宋_GB2312" w:hAnsi="仿宋_GB2312" w:eastAsia="仿宋_GB2312" w:cs="仿宋_GB2312"/>
          <w:sz w:val="24"/>
          <w:szCs w:val="24"/>
          <w:highlight w:val="none"/>
          <w:lang w:val="en-US" w:eastAsia="zh-CN"/>
        </w:rPr>
        <w:t>等相关查询结果截图，</w:t>
      </w:r>
      <w:r>
        <w:rPr>
          <w:rFonts w:hint="eastAsia" w:ascii="仿宋_GB2312" w:hAnsi="仿宋_GB2312" w:eastAsia="仿宋_GB2312" w:cs="仿宋_GB2312"/>
          <w:sz w:val="24"/>
          <w:szCs w:val="24"/>
          <w:highlight w:val="none"/>
        </w:rPr>
        <w:t>需加盖比选申请人公章）</w:t>
      </w:r>
    </w:p>
    <w:p w14:paraId="241F8B4B">
      <w:pPr>
        <w:spacing w:before="0" w:after="0" w:line="240" w:lineRule="auto"/>
        <w:jc w:val="center"/>
        <w:outlineLvl w:val="9"/>
        <w:rPr>
          <w:rFonts w:hint="default" w:ascii="Times New Roman" w:hAnsi="Times New Roman" w:eastAsia="仿宋_GB2312" w:cs="Times New Roman"/>
          <w:b/>
          <w:bCs/>
          <w:color w:val="000000"/>
          <w:kern w:val="2"/>
          <w:sz w:val="28"/>
          <w:szCs w:val="28"/>
          <w:lang w:val="en-US" w:eastAsia="zh-CN"/>
        </w:rPr>
      </w:pPr>
    </w:p>
    <w:p w14:paraId="01C62B64">
      <w:pPr>
        <w:pStyle w:val="23"/>
        <w:rPr>
          <w:rFonts w:hint="default" w:ascii="Times New Roman" w:hAnsi="Times New Roman" w:eastAsia="仿宋_GB2312" w:cs="Times New Roman"/>
          <w:kern w:val="2"/>
          <w:sz w:val="28"/>
          <w:lang w:val="en-US" w:eastAsia="zh-CN"/>
        </w:rPr>
      </w:pPr>
    </w:p>
    <w:p w14:paraId="03C356D3">
      <w:pPr>
        <w:pStyle w:val="23"/>
        <w:rPr>
          <w:rFonts w:hint="default" w:ascii="Times New Roman" w:hAnsi="Times New Roman" w:eastAsia="仿宋_GB2312" w:cs="Times New Roman"/>
          <w:kern w:val="2"/>
          <w:sz w:val="28"/>
          <w:lang w:val="en-US" w:eastAsia="zh-CN"/>
        </w:rPr>
      </w:pPr>
    </w:p>
    <w:p w14:paraId="4FB1DF70">
      <w:pPr>
        <w:pStyle w:val="23"/>
        <w:rPr>
          <w:rFonts w:hint="default" w:ascii="Times New Roman" w:hAnsi="Times New Roman" w:eastAsia="仿宋_GB2312" w:cs="Times New Roman"/>
          <w:kern w:val="2"/>
          <w:sz w:val="28"/>
          <w:lang w:val="en-US" w:eastAsia="zh-CN"/>
        </w:rPr>
      </w:pPr>
    </w:p>
    <w:p w14:paraId="741224B5">
      <w:pPr>
        <w:pStyle w:val="23"/>
        <w:rPr>
          <w:rFonts w:hint="default" w:ascii="Times New Roman" w:hAnsi="Times New Roman" w:eastAsia="仿宋_GB2312" w:cs="Times New Roman"/>
          <w:kern w:val="2"/>
          <w:sz w:val="28"/>
          <w:lang w:val="en-US" w:eastAsia="zh-CN"/>
        </w:rPr>
      </w:pPr>
    </w:p>
    <w:p w14:paraId="59D6F533">
      <w:pPr>
        <w:pStyle w:val="23"/>
        <w:rPr>
          <w:rFonts w:hint="default" w:ascii="Times New Roman" w:hAnsi="Times New Roman" w:eastAsia="仿宋_GB2312" w:cs="Times New Roman"/>
          <w:kern w:val="2"/>
          <w:sz w:val="28"/>
          <w:lang w:val="en-US" w:eastAsia="zh-CN"/>
        </w:rPr>
      </w:pPr>
    </w:p>
    <w:p w14:paraId="02F21000">
      <w:pPr>
        <w:pStyle w:val="23"/>
        <w:rPr>
          <w:rFonts w:hint="default" w:ascii="Times New Roman" w:hAnsi="Times New Roman" w:eastAsia="仿宋_GB2312" w:cs="Times New Roman"/>
          <w:kern w:val="2"/>
          <w:sz w:val="28"/>
          <w:lang w:val="en-US" w:eastAsia="zh-CN"/>
        </w:rPr>
      </w:pPr>
    </w:p>
    <w:p w14:paraId="2DD0A89E">
      <w:pPr>
        <w:pStyle w:val="23"/>
        <w:rPr>
          <w:rFonts w:hint="default" w:ascii="Times New Roman" w:hAnsi="Times New Roman" w:eastAsia="仿宋_GB2312" w:cs="Times New Roman"/>
          <w:kern w:val="2"/>
          <w:sz w:val="28"/>
          <w:lang w:val="en-US" w:eastAsia="zh-CN"/>
        </w:rPr>
      </w:pPr>
    </w:p>
    <w:p w14:paraId="56E138F4">
      <w:pPr>
        <w:pStyle w:val="23"/>
        <w:rPr>
          <w:rFonts w:hint="default" w:ascii="Times New Roman" w:hAnsi="Times New Roman" w:eastAsia="仿宋_GB2312" w:cs="Times New Roman"/>
          <w:kern w:val="2"/>
          <w:sz w:val="28"/>
          <w:lang w:val="en-US" w:eastAsia="zh-CN"/>
        </w:rPr>
      </w:pPr>
    </w:p>
    <w:p w14:paraId="41B68CEC">
      <w:pPr>
        <w:pStyle w:val="23"/>
        <w:rPr>
          <w:rFonts w:hint="default" w:ascii="Times New Roman" w:hAnsi="Times New Roman" w:eastAsia="仿宋_GB2312" w:cs="Times New Roman"/>
          <w:kern w:val="2"/>
          <w:sz w:val="28"/>
          <w:lang w:val="en-US" w:eastAsia="zh-CN"/>
        </w:rPr>
      </w:pPr>
    </w:p>
    <w:p w14:paraId="11FA6088">
      <w:pPr>
        <w:pStyle w:val="23"/>
        <w:rPr>
          <w:rFonts w:hint="default" w:ascii="Times New Roman" w:hAnsi="Times New Roman" w:eastAsia="仿宋_GB2312" w:cs="Times New Roman"/>
          <w:kern w:val="2"/>
          <w:sz w:val="28"/>
          <w:lang w:val="en-US" w:eastAsia="zh-CN"/>
        </w:rPr>
      </w:pPr>
    </w:p>
    <w:p w14:paraId="7E1CC5E1">
      <w:pPr>
        <w:pStyle w:val="23"/>
        <w:rPr>
          <w:rFonts w:hint="default" w:ascii="Times New Roman" w:hAnsi="Times New Roman" w:eastAsia="仿宋_GB2312" w:cs="Times New Roman"/>
          <w:kern w:val="2"/>
          <w:sz w:val="28"/>
          <w:lang w:val="en-US" w:eastAsia="zh-CN"/>
        </w:rPr>
      </w:pPr>
    </w:p>
    <w:p w14:paraId="744CE58B">
      <w:pPr>
        <w:pStyle w:val="23"/>
        <w:rPr>
          <w:rFonts w:hint="default" w:ascii="Times New Roman" w:hAnsi="Times New Roman" w:eastAsia="仿宋_GB2312" w:cs="Times New Roman"/>
          <w:kern w:val="2"/>
          <w:sz w:val="28"/>
          <w:lang w:val="en-US" w:eastAsia="zh-CN"/>
        </w:rPr>
      </w:pPr>
    </w:p>
    <w:p w14:paraId="22189440">
      <w:pPr>
        <w:pStyle w:val="23"/>
        <w:rPr>
          <w:rFonts w:hint="default" w:ascii="Times New Roman" w:hAnsi="Times New Roman" w:eastAsia="仿宋_GB2312" w:cs="Times New Roman"/>
          <w:kern w:val="2"/>
          <w:sz w:val="28"/>
          <w:lang w:val="en-US" w:eastAsia="zh-CN"/>
        </w:rPr>
      </w:pPr>
    </w:p>
    <w:p w14:paraId="03599677">
      <w:pPr>
        <w:pStyle w:val="23"/>
        <w:rPr>
          <w:rFonts w:hint="default" w:ascii="Times New Roman" w:hAnsi="Times New Roman" w:eastAsia="仿宋_GB2312" w:cs="Times New Roman"/>
          <w:kern w:val="2"/>
          <w:sz w:val="28"/>
          <w:lang w:val="en-US" w:eastAsia="zh-CN"/>
        </w:rPr>
      </w:pPr>
    </w:p>
    <w:p w14:paraId="663FFA65">
      <w:pPr>
        <w:pStyle w:val="23"/>
        <w:rPr>
          <w:rFonts w:hint="default" w:ascii="Times New Roman" w:hAnsi="Times New Roman" w:eastAsia="仿宋_GB2312" w:cs="Times New Roman"/>
          <w:kern w:val="2"/>
          <w:sz w:val="28"/>
          <w:lang w:val="en-US" w:eastAsia="zh-CN"/>
        </w:rPr>
      </w:pPr>
    </w:p>
    <w:p w14:paraId="0A33A205">
      <w:pPr>
        <w:pStyle w:val="23"/>
        <w:rPr>
          <w:rFonts w:hint="default" w:ascii="Times New Roman" w:hAnsi="Times New Roman" w:eastAsia="仿宋_GB2312" w:cs="Times New Roman"/>
          <w:kern w:val="2"/>
          <w:sz w:val="28"/>
          <w:lang w:val="en-US" w:eastAsia="zh-CN"/>
        </w:rPr>
      </w:pPr>
    </w:p>
    <w:p w14:paraId="233F90F6">
      <w:pPr>
        <w:pStyle w:val="23"/>
        <w:rPr>
          <w:rFonts w:hint="default" w:ascii="Times New Roman" w:hAnsi="Times New Roman" w:eastAsia="仿宋_GB2312" w:cs="Times New Roman"/>
          <w:kern w:val="2"/>
          <w:sz w:val="28"/>
          <w:lang w:val="en-US" w:eastAsia="zh-CN"/>
        </w:rPr>
      </w:pPr>
    </w:p>
    <w:p w14:paraId="37AB89AB">
      <w:pPr>
        <w:spacing w:before="260" w:after="260" w:line="600" w:lineRule="exact"/>
        <w:jc w:val="center"/>
        <w:outlineLvl w:val="1"/>
        <w:rPr>
          <w:rFonts w:hint="default" w:ascii="Times New Roman" w:hAnsi="Times New Roman" w:eastAsia="仿宋_GB2312" w:cs="Times New Roman"/>
          <w:b/>
          <w:sz w:val="32"/>
          <w:szCs w:val="32"/>
          <w:lang w:eastAsia="zh-CN"/>
        </w:rPr>
      </w:pPr>
      <w:bookmarkStart w:id="972" w:name="_Toc29926"/>
      <w:bookmarkStart w:id="973" w:name="_Toc1902"/>
      <w:bookmarkStart w:id="974" w:name="_Toc26353"/>
      <w:bookmarkStart w:id="975" w:name="_Toc9458"/>
      <w:bookmarkStart w:id="976" w:name="_Toc6843"/>
      <w:bookmarkStart w:id="977" w:name="_Toc12780"/>
      <w:bookmarkStart w:id="978" w:name="_Toc805"/>
      <w:bookmarkStart w:id="979" w:name="_Toc15856"/>
      <w:bookmarkStart w:id="980" w:name="_Toc26662"/>
      <w:bookmarkStart w:id="981" w:name="_Toc13317"/>
      <w:bookmarkStart w:id="982" w:name="_Toc31021"/>
      <w:bookmarkStart w:id="983" w:name="_Toc9304"/>
      <w:bookmarkStart w:id="984" w:name="_Toc19003"/>
      <w:bookmarkStart w:id="985" w:name="_Toc270"/>
      <w:bookmarkStart w:id="986" w:name="_Toc2941"/>
      <w:bookmarkStart w:id="987" w:name="_Toc29734"/>
      <w:bookmarkStart w:id="988" w:name="_Toc31744"/>
      <w:bookmarkStart w:id="989" w:name="_Toc22374"/>
      <w:bookmarkStart w:id="990" w:name="_Toc14098"/>
      <w:bookmarkStart w:id="991" w:name="_Toc18195"/>
      <w:bookmarkStart w:id="992" w:name="_Toc27863"/>
      <w:bookmarkStart w:id="993" w:name="_Toc22433"/>
      <w:r>
        <w:rPr>
          <w:rFonts w:hint="eastAsia" w:ascii="Times New Roman" w:hAnsi="Times New Roman" w:eastAsia="仿宋_GB2312" w:cs="Times New Roman"/>
          <w:b/>
          <w:sz w:val="32"/>
          <w:szCs w:val="32"/>
          <w:lang w:val="en-US" w:eastAsia="zh-CN"/>
        </w:rPr>
        <w:t>（七）</w:t>
      </w:r>
      <w:r>
        <w:rPr>
          <w:rFonts w:hint="default" w:ascii="Times New Roman" w:hAnsi="Times New Roman" w:eastAsia="仿宋_GB2312" w:cs="Times New Roman"/>
          <w:b/>
          <w:sz w:val="32"/>
          <w:szCs w:val="32"/>
          <w:lang w:val="en-US" w:eastAsia="zh-CN"/>
        </w:rPr>
        <w:t>评级资质</w:t>
      </w:r>
      <w:r>
        <w:rPr>
          <w:rFonts w:hint="default" w:ascii="Times New Roman" w:hAnsi="Times New Roman" w:eastAsia="仿宋_GB2312" w:cs="Times New Roman"/>
          <w:b/>
          <w:sz w:val="32"/>
          <w:szCs w:val="32"/>
          <w:lang w:eastAsia="zh-CN"/>
        </w:rPr>
        <w:t>证明文件</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1AB41D70">
      <w:pPr>
        <w:spacing w:line="360" w:lineRule="auto"/>
        <w:ind w:firstLine="0" w:firstLineChars="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（由中国证券监督管理委员会及中国银行间市场交易商协会认定的具有开展评级业务资质的证明文件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需加盖比选申请人公章）</w:t>
      </w:r>
    </w:p>
    <w:p w14:paraId="07AA72E5">
      <w:pPr>
        <w:spacing w:line="560" w:lineRule="exact"/>
        <w:rPr>
          <w:rFonts w:ascii="Times New Roman" w:hAnsi="Times New Roman" w:eastAsia="仿宋" w:cs="Times New Roman"/>
          <w:sz w:val="32"/>
          <w:szCs w:val="32"/>
        </w:rPr>
      </w:pPr>
      <w:bookmarkStart w:id="994" w:name="_Toc427855505"/>
    </w:p>
    <w:p w14:paraId="2E4BEC85">
      <w:pPr>
        <w:pStyle w:val="8"/>
        <w:rPr>
          <w:rFonts w:ascii="Times New Roman" w:hAnsi="Times New Roman" w:eastAsia="仿宋" w:cs="Times New Roman"/>
          <w:sz w:val="32"/>
          <w:szCs w:val="32"/>
        </w:rPr>
      </w:pPr>
    </w:p>
    <w:p w14:paraId="62AF8F8F">
      <w:pPr>
        <w:pStyle w:val="6"/>
        <w:rPr>
          <w:rFonts w:ascii="Times New Roman" w:hAnsi="Times New Roman" w:eastAsia="仿宋" w:cs="Times New Roman"/>
          <w:sz w:val="32"/>
          <w:szCs w:val="32"/>
        </w:rPr>
      </w:pPr>
    </w:p>
    <w:p w14:paraId="3791D581">
      <w:pPr>
        <w:pStyle w:val="6"/>
        <w:rPr>
          <w:rFonts w:ascii="Times New Roman" w:hAnsi="Times New Roman" w:eastAsia="仿宋" w:cs="Times New Roman"/>
          <w:sz w:val="32"/>
          <w:szCs w:val="32"/>
        </w:rPr>
      </w:pPr>
    </w:p>
    <w:p w14:paraId="284EA97C">
      <w:pPr>
        <w:pStyle w:val="6"/>
        <w:rPr>
          <w:rFonts w:ascii="Times New Roman" w:hAnsi="Times New Roman" w:eastAsia="仿宋" w:cs="Times New Roman"/>
          <w:sz w:val="32"/>
          <w:szCs w:val="32"/>
        </w:rPr>
      </w:pPr>
    </w:p>
    <w:p w14:paraId="627F7B54">
      <w:pPr>
        <w:pStyle w:val="6"/>
        <w:rPr>
          <w:rFonts w:ascii="Times New Roman" w:hAnsi="Times New Roman" w:eastAsia="仿宋" w:cs="Times New Roman"/>
          <w:sz w:val="32"/>
          <w:szCs w:val="32"/>
        </w:rPr>
      </w:pPr>
    </w:p>
    <w:p w14:paraId="43E5DD3D">
      <w:pPr>
        <w:pStyle w:val="6"/>
        <w:rPr>
          <w:rFonts w:ascii="Times New Roman" w:hAnsi="Times New Roman" w:eastAsia="仿宋" w:cs="Times New Roman"/>
          <w:sz w:val="32"/>
          <w:szCs w:val="32"/>
        </w:rPr>
      </w:pPr>
    </w:p>
    <w:p w14:paraId="75527839">
      <w:pPr>
        <w:pStyle w:val="6"/>
        <w:rPr>
          <w:rFonts w:ascii="Times New Roman" w:hAnsi="Times New Roman" w:eastAsia="仿宋" w:cs="Times New Roman"/>
          <w:sz w:val="32"/>
          <w:szCs w:val="32"/>
        </w:rPr>
      </w:pPr>
    </w:p>
    <w:p w14:paraId="30D5C38A">
      <w:pPr>
        <w:pStyle w:val="6"/>
        <w:rPr>
          <w:rFonts w:ascii="Times New Roman" w:hAnsi="Times New Roman" w:eastAsia="仿宋" w:cs="Times New Roman"/>
          <w:sz w:val="32"/>
          <w:szCs w:val="32"/>
        </w:rPr>
      </w:pPr>
    </w:p>
    <w:p w14:paraId="1054F289">
      <w:pPr>
        <w:pStyle w:val="6"/>
        <w:rPr>
          <w:rFonts w:ascii="Times New Roman" w:hAnsi="Times New Roman" w:eastAsia="仿宋" w:cs="Times New Roman"/>
          <w:sz w:val="32"/>
          <w:szCs w:val="32"/>
        </w:rPr>
      </w:pPr>
    </w:p>
    <w:p w14:paraId="46630AD4">
      <w:pPr>
        <w:pStyle w:val="6"/>
        <w:rPr>
          <w:rFonts w:ascii="Times New Roman" w:hAnsi="Times New Roman" w:eastAsia="仿宋" w:cs="Times New Roman"/>
          <w:sz w:val="32"/>
          <w:szCs w:val="32"/>
        </w:rPr>
      </w:pPr>
    </w:p>
    <w:p w14:paraId="478D379A">
      <w:pPr>
        <w:pStyle w:val="6"/>
        <w:rPr>
          <w:rFonts w:ascii="Times New Roman" w:hAnsi="Times New Roman" w:eastAsia="仿宋" w:cs="Times New Roman"/>
          <w:sz w:val="32"/>
          <w:szCs w:val="32"/>
        </w:rPr>
      </w:pPr>
    </w:p>
    <w:p w14:paraId="2CD150CD">
      <w:pPr>
        <w:pStyle w:val="6"/>
        <w:rPr>
          <w:rFonts w:ascii="Times New Roman" w:hAnsi="Times New Roman" w:eastAsia="仿宋" w:cs="Times New Roman"/>
          <w:sz w:val="32"/>
          <w:szCs w:val="32"/>
        </w:rPr>
      </w:pPr>
    </w:p>
    <w:p w14:paraId="50B9D32E">
      <w:pPr>
        <w:pStyle w:val="6"/>
        <w:rPr>
          <w:rFonts w:ascii="Times New Roman" w:hAnsi="Times New Roman" w:eastAsia="仿宋" w:cs="Times New Roman"/>
          <w:sz w:val="32"/>
          <w:szCs w:val="32"/>
        </w:rPr>
      </w:pPr>
    </w:p>
    <w:p w14:paraId="6B4B8D59">
      <w:pPr>
        <w:pStyle w:val="6"/>
        <w:rPr>
          <w:rFonts w:ascii="Times New Roman" w:hAnsi="Times New Roman" w:eastAsia="仿宋" w:cs="Times New Roman"/>
          <w:sz w:val="32"/>
          <w:szCs w:val="32"/>
        </w:rPr>
      </w:pPr>
    </w:p>
    <w:p w14:paraId="6825BB76">
      <w:pPr>
        <w:pStyle w:val="6"/>
        <w:rPr>
          <w:rFonts w:ascii="Times New Roman" w:hAnsi="Times New Roman" w:eastAsia="仿宋" w:cs="Times New Roman"/>
          <w:sz w:val="32"/>
          <w:szCs w:val="32"/>
        </w:rPr>
      </w:pPr>
    </w:p>
    <w:p w14:paraId="04D42BCA">
      <w:pPr>
        <w:pStyle w:val="6"/>
        <w:rPr>
          <w:rFonts w:ascii="Times New Roman" w:hAnsi="Times New Roman" w:eastAsia="仿宋" w:cs="Times New Roman"/>
          <w:sz w:val="32"/>
          <w:szCs w:val="32"/>
        </w:rPr>
      </w:pPr>
    </w:p>
    <w:p w14:paraId="0213380E">
      <w:pPr>
        <w:pStyle w:val="6"/>
        <w:rPr>
          <w:rFonts w:ascii="Times New Roman" w:hAnsi="Times New Roman" w:eastAsia="仿宋" w:cs="Times New Roman"/>
          <w:sz w:val="32"/>
          <w:szCs w:val="32"/>
        </w:rPr>
      </w:pPr>
    </w:p>
    <w:p w14:paraId="67100BD1">
      <w:pPr>
        <w:pStyle w:val="6"/>
        <w:rPr>
          <w:rFonts w:ascii="Times New Roman" w:hAnsi="Times New Roman" w:eastAsia="仿宋" w:cs="Times New Roman"/>
          <w:sz w:val="32"/>
          <w:szCs w:val="32"/>
        </w:rPr>
      </w:pPr>
    </w:p>
    <w:p w14:paraId="74E6A501">
      <w:pPr>
        <w:pStyle w:val="6"/>
        <w:rPr>
          <w:rFonts w:ascii="Times New Roman" w:hAnsi="Times New Roman" w:eastAsia="仿宋" w:cs="Times New Roman"/>
          <w:sz w:val="32"/>
          <w:szCs w:val="32"/>
        </w:rPr>
      </w:pPr>
    </w:p>
    <w:p w14:paraId="000511C2">
      <w:pPr>
        <w:pStyle w:val="6"/>
        <w:rPr>
          <w:rFonts w:ascii="Times New Roman" w:hAnsi="Times New Roman" w:eastAsia="仿宋" w:cs="Times New Roman"/>
          <w:sz w:val="32"/>
          <w:szCs w:val="32"/>
        </w:rPr>
      </w:pPr>
    </w:p>
    <w:p w14:paraId="6DD82EB2">
      <w:pPr>
        <w:pStyle w:val="6"/>
        <w:rPr>
          <w:rFonts w:ascii="Times New Roman" w:hAnsi="Times New Roman" w:eastAsia="仿宋" w:cs="Times New Roman"/>
          <w:sz w:val="32"/>
          <w:szCs w:val="32"/>
        </w:rPr>
      </w:pPr>
    </w:p>
    <w:p w14:paraId="4D5A805F">
      <w:pPr>
        <w:pStyle w:val="6"/>
        <w:rPr>
          <w:rFonts w:ascii="Times New Roman" w:hAnsi="Times New Roman" w:eastAsia="仿宋" w:cs="Times New Roman"/>
          <w:sz w:val="32"/>
          <w:szCs w:val="32"/>
        </w:rPr>
      </w:pPr>
    </w:p>
    <w:p w14:paraId="769D584C">
      <w:pPr>
        <w:pStyle w:val="6"/>
        <w:rPr>
          <w:rFonts w:ascii="Times New Roman" w:hAnsi="Times New Roman" w:eastAsia="仿宋" w:cs="Times New Roman"/>
          <w:sz w:val="32"/>
          <w:szCs w:val="32"/>
        </w:rPr>
      </w:pPr>
    </w:p>
    <w:p w14:paraId="109D192B">
      <w:pPr>
        <w:pStyle w:val="6"/>
        <w:rPr>
          <w:rFonts w:ascii="Times New Roman" w:hAnsi="Times New Roman" w:eastAsia="仿宋" w:cs="Times New Roman"/>
          <w:sz w:val="32"/>
          <w:szCs w:val="32"/>
        </w:rPr>
      </w:pPr>
    </w:p>
    <w:p w14:paraId="3B87A0CE">
      <w:pPr>
        <w:pStyle w:val="6"/>
        <w:rPr>
          <w:rFonts w:ascii="Times New Roman" w:hAnsi="Times New Roman" w:eastAsia="仿宋" w:cs="Times New Roman"/>
          <w:sz w:val="32"/>
          <w:szCs w:val="32"/>
        </w:rPr>
      </w:pPr>
    </w:p>
    <w:p w14:paraId="2544C485">
      <w:pPr>
        <w:pStyle w:val="6"/>
        <w:rPr>
          <w:rFonts w:ascii="Times New Roman" w:hAnsi="Times New Roman" w:eastAsia="仿宋" w:cs="Times New Roman"/>
          <w:sz w:val="32"/>
          <w:szCs w:val="32"/>
        </w:rPr>
      </w:pPr>
    </w:p>
    <w:p w14:paraId="4BB0ECCA">
      <w:pPr>
        <w:pStyle w:val="6"/>
        <w:rPr>
          <w:rFonts w:ascii="Times New Roman" w:hAnsi="Times New Roman" w:eastAsia="仿宋" w:cs="Times New Roman"/>
          <w:sz w:val="32"/>
          <w:szCs w:val="32"/>
        </w:rPr>
      </w:pPr>
    </w:p>
    <w:p w14:paraId="221DBCCB">
      <w:pPr>
        <w:pStyle w:val="6"/>
        <w:rPr>
          <w:rFonts w:ascii="Times New Roman" w:hAnsi="Times New Roman" w:eastAsia="仿宋" w:cs="Times New Roman"/>
          <w:sz w:val="32"/>
          <w:szCs w:val="32"/>
        </w:rPr>
      </w:pPr>
    </w:p>
    <w:p w14:paraId="6C040C60">
      <w:pPr>
        <w:pStyle w:val="6"/>
        <w:ind w:left="0" w:leftChars="0" w:firstLine="0" w:firstLineChars="0"/>
        <w:rPr>
          <w:rFonts w:ascii="Times New Roman" w:hAnsi="Times New Roman" w:eastAsia="仿宋" w:cs="Times New Roman"/>
          <w:sz w:val="32"/>
          <w:szCs w:val="32"/>
        </w:rPr>
      </w:pPr>
    </w:p>
    <w:p w14:paraId="49014B50">
      <w:pPr>
        <w:spacing w:before="260" w:after="260" w:line="600" w:lineRule="exact"/>
        <w:jc w:val="center"/>
        <w:outlineLvl w:val="1"/>
        <w:rPr>
          <w:rFonts w:hint="default" w:ascii="Times New Roman" w:hAnsi="Times New Roman" w:eastAsia="仿宋_GB2312" w:cs="Times New Roman"/>
          <w:b/>
          <w:sz w:val="32"/>
          <w:szCs w:val="32"/>
          <w:lang w:eastAsia="zh-CN"/>
        </w:rPr>
      </w:pPr>
      <w:bookmarkStart w:id="995" w:name="_Toc5597"/>
      <w:bookmarkStart w:id="996" w:name="_Toc25509"/>
      <w:bookmarkStart w:id="997" w:name="_Toc12770"/>
      <w:bookmarkStart w:id="998" w:name="_Toc6194"/>
      <w:bookmarkStart w:id="999" w:name="_Toc13874"/>
      <w:bookmarkStart w:id="1000" w:name="_Toc19494"/>
      <w:bookmarkStart w:id="1001" w:name="_Toc12677"/>
      <w:bookmarkStart w:id="1002" w:name="_Toc16370"/>
      <w:bookmarkStart w:id="1003" w:name="_Toc27914"/>
      <w:bookmarkStart w:id="1004" w:name="_Toc18670"/>
      <w:bookmarkStart w:id="1005" w:name="_Toc21036"/>
      <w:bookmarkStart w:id="1006" w:name="_Toc7571"/>
      <w:bookmarkStart w:id="1007" w:name="_Toc5952"/>
      <w:bookmarkStart w:id="1008" w:name="_Toc24064"/>
      <w:bookmarkStart w:id="1009" w:name="_Toc22985"/>
      <w:bookmarkStart w:id="1010" w:name="_Toc22441"/>
      <w:bookmarkStart w:id="1011" w:name="_Toc12032"/>
      <w:bookmarkStart w:id="1012" w:name="_Toc21081"/>
      <w:bookmarkStart w:id="1013" w:name="_Toc4362"/>
      <w:bookmarkStart w:id="1014" w:name="_Toc30081"/>
      <w:bookmarkStart w:id="1015" w:name="_Toc1223"/>
      <w:bookmarkStart w:id="1016" w:name="_Toc2955"/>
      <w:bookmarkStart w:id="1017" w:name="_Toc306109846"/>
      <w:bookmarkStart w:id="1018" w:name="_Toc306111403"/>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八</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eastAsia="zh-CN"/>
        </w:rPr>
        <w:t>服务费用报价函</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tbl>
      <w:tblPr>
        <w:tblStyle w:val="17"/>
        <w:tblW w:w="84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6702"/>
      </w:tblGrid>
      <w:tr w14:paraId="33C7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797" w:type="dxa"/>
            <w:noWrap w:val="0"/>
            <w:vAlign w:val="center"/>
          </w:tcPr>
          <w:p w14:paraId="6F01C53A">
            <w:pPr>
              <w:spacing w:before="156" w:beforeLines="50" w:after="156" w:afterLines="50"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6702" w:type="dxa"/>
            <w:noWrap w:val="0"/>
            <w:vAlign w:val="center"/>
          </w:tcPr>
          <w:p w14:paraId="52D37BCF">
            <w:pPr>
              <w:spacing w:before="156" w:beforeLines="50" w:after="156" w:afterLines="50"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比选总价报价（万元）</w:t>
            </w:r>
          </w:p>
        </w:tc>
      </w:tr>
      <w:tr w14:paraId="5091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1797" w:type="dxa"/>
            <w:noWrap w:val="0"/>
            <w:vAlign w:val="center"/>
          </w:tcPr>
          <w:p w14:paraId="01F6CC20">
            <w:pPr>
              <w:spacing w:before="156" w:beforeLines="50" w:after="156" w:afterLines="50" w:line="36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主体信用评级</w:t>
            </w:r>
          </w:p>
        </w:tc>
        <w:tc>
          <w:tcPr>
            <w:tcW w:w="6702" w:type="dxa"/>
            <w:noWrap w:val="0"/>
            <w:vAlign w:val="center"/>
          </w:tcPr>
          <w:p w14:paraId="4548970F">
            <w:pPr>
              <w:spacing w:before="156" w:beforeLines="50" w:after="156" w:afterLines="50" w:line="360" w:lineRule="auto"/>
              <w:ind w:firstLine="480" w:firstLineChars="200"/>
              <w:jc w:val="left"/>
              <w:rPr>
                <w:rFonts w:hint="eastAsia" w:ascii="仿宋_GB2312" w:hAnsi="仿宋_GB2312" w:eastAsia="仿宋_GB2312" w:cs="仿宋_GB2312"/>
                <w:sz w:val="24"/>
                <w:szCs w:val="24"/>
              </w:rPr>
            </w:pPr>
          </w:p>
          <w:p w14:paraId="68B0C779">
            <w:pPr>
              <w:spacing w:before="156" w:beforeLines="50" w:after="156" w:afterLines="50"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人民币：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lang w:val="en-US" w:eastAsia="zh-CN"/>
              </w:rPr>
              <w:t>/年</w:t>
            </w:r>
          </w:p>
          <w:p w14:paraId="6F963BD9">
            <w:pPr>
              <w:spacing w:before="156" w:beforeLines="50" w:after="156" w:afterLines="50"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大</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写：         万元</w:t>
            </w:r>
            <w:r>
              <w:rPr>
                <w:rFonts w:hint="eastAsia" w:ascii="仿宋_GB2312" w:hAnsi="仿宋_GB2312" w:eastAsia="仿宋_GB2312" w:cs="仿宋_GB2312"/>
                <w:sz w:val="24"/>
                <w:szCs w:val="24"/>
                <w:lang w:val="en-US" w:eastAsia="zh-CN"/>
              </w:rPr>
              <w:t>/年</w:t>
            </w:r>
          </w:p>
          <w:p w14:paraId="2F8FE00A">
            <w:pPr>
              <w:pStyle w:val="23"/>
              <w:rPr>
                <w:rFonts w:hint="eastAsia" w:ascii="仿宋_GB2312" w:hAnsi="仿宋_GB2312" w:eastAsia="仿宋_GB2312" w:cs="仿宋_GB2312"/>
                <w:sz w:val="24"/>
                <w:szCs w:val="24"/>
              </w:rPr>
            </w:pPr>
          </w:p>
        </w:tc>
      </w:tr>
      <w:bookmarkEnd w:id="1017"/>
      <w:bookmarkEnd w:id="1018"/>
    </w:tbl>
    <w:p w14:paraId="143B13C7">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注：</w:t>
      </w:r>
      <w:r>
        <w:rPr>
          <w:rFonts w:hint="default" w:ascii="Times New Roman" w:hAnsi="Times New Roman" w:eastAsia="仿宋_GB2312" w:cs="Times New Roman"/>
          <w:sz w:val="24"/>
          <w:szCs w:val="24"/>
        </w:rPr>
        <w:t>报价应包括一切费用</w:t>
      </w:r>
      <w:r>
        <w:rPr>
          <w:rFonts w:hint="default" w:ascii="Times New Roman" w:hAnsi="Times New Roman" w:eastAsia="仿宋_GB2312" w:cs="Times New Roman"/>
          <w:color w:val="000000"/>
          <w:sz w:val="24"/>
          <w:szCs w:val="24"/>
        </w:rPr>
        <w:t>，比选人不负责承担比选申请人因中选后开展项目应支付的差旅费及其他费用</w:t>
      </w:r>
      <w:r>
        <w:rPr>
          <w:rFonts w:hint="default" w:ascii="Times New Roman" w:hAnsi="Times New Roman" w:eastAsia="仿宋_GB2312" w:cs="Times New Roman"/>
          <w:sz w:val="24"/>
          <w:szCs w:val="24"/>
        </w:rPr>
        <w:t>。</w:t>
      </w:r>
    </w:p>
    <w:p w14:paraId="7B04586E">
      <w:pPr>
        <w:pStyle w:val="22"/>
        <w:numPr>
          <w:ilvl w:val="4"/>
          <w:numId w:val="0"/>
        </w:numPr>
        <w:rPr>
          <w:rFonts w:ascii="Times New Roman" w:hAnsi="Times New Roman" w:eastAsia="仿宋" w:cs="Times New Roman"/>
        </w:rPr>
      </w:pPr>
    </w:p>
    <w:p w14:paraId="3187023D">
      <w:pPr>
        <w:pStyle w:val="23"/>
        <w:rPr>
          <w:rFonts w:ascii="Times New Roman" w:hAnsi="Times New Roman" w:eastAsia="仿宋" w:cs="Times New Roman"/>
        </w:rPr>
      </w:pPr>
    </w:p>
    <w:p w14:paraId="0138BAB4">
      <w:pPr>
        <w:pStyle w:val="23"/>
        <w:rPr>
          <w:rFonts w:ascii="Times New Roman" w:hAnsi="Times New Roman" w:eastAsia="仿宋" w:cs="Times New Roman"/>
        </w:rPr>
      </w:pPr>
    </w:p>
    <w:p w14:paraId="5B78D8BB">
      <w:pPr>
        <w:pStyle w:val="23"/>
        <w:rPr>
          <w:rFonts w:ascii="Times New Roman" w:hAnsi="Times New Roman" w:eastAsia="仿宋" w:cs="Times New Roman"/>
        </w:rPr>
      </w:pPr>
    </w:p>
    <w:p w14:paraId="05FDABB0">
      <w:pPr>
        <w:pStyle w:val="23"/>
        <w:spacing w:line="360" w:lineRule="auto"/>
        <w:rPr>
          <w:rFonts w:ascii="Times New Roman" w:hAnsi="Times New Roman" w:eastAsia="仿宋" w:cs="Times New Roman"/>
        </w:rPr>
      </w:pPr>
    </w:p>
    <w:p w14:paraId="4C5DA728">
      <w:pPr>
        <w:snapToGrid w:val="0"/>
        <w:spacing w:line="360" w:lineRule="auto"/>
        <w:ind w:firstLine="3600" w:firstLineChars="150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比选申请人</w:t>
      </w:r>
      <w:r>
        <w:rPr>
          <w:rFonts w:hint="eastAsia" w:ascii="Times New Roman" w:hAnsi="Times New Roman" w:eastAsia="仿宋_GB2312" w:cs="Times New Roman"/>
          <w:sz w:val="24"/>
          <w:szCs w:val="24"/>
          <w:lang w:eastAsia="zh-CN"/>
        </w:rPr>
        <w:t>：</w:t>
      </w:r>
      <w:r>
        <w:rPr>
          <w:rFonts w:hint="eastAsia" w:ascii="仿宋_GB2312" w:hAnsi="仿宋_GB2312" w:eastAsia="仿宋_GB2312" w:cs="仿宋_GB2312"/>
          <w:sz w:val="24"/>
          <w:szCs w:val="24"/>
        </w:rPr>
        <w:t>【请填写全称】</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盖</w:t>
      </w:r>
      <w:r>
        <w:rPr>
          <w:rFonts w:hint="default" w:ascii="Times New Roman" w:hAnsi="Times New Roman" w:eastAsia="仿宋_GB2312" w:cs="Times New Roman"/>
          <w:sz w:val="24"/>
          <w:szCs w:val="24"/>
        </w:rPr>
        <w:t>章）</w:t>
      </w:r>
    </w:p>
    <w:p w14:paraId="57E6A167">
      <w:pPr>
        <w:widowControl/>
        <w:snapToGrid w:val="0"/>
        <w:spacing w:line="360" w:lineRule="auto"/>
        <w:ind w:firstLine="420" w:firstLineChars="0"/>
        <w:jc w:val="righ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p>
    <w:p w14:paraId="5FF8F0F8">
      <w:pPr>
        <w:snapToGrid w:val="0"/>
        <w:spacing w:line="360" w:lineRule="auto"/>
        <w:ind w:firstLine="420" w:firstLineChars="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 xml:space="preserve">                 法定代表</w:t>
      </w:r>
      <w:r>
        <w:rPr>
          <w:rFonts w:hint="eastAsia" w:ascii="仿宋_GB2312" w:hAnsi="仿宋_GB2312" w:eastAsia="仿宋_GB2312" w:cs="仿宋_GB2312"/>
          <w:bCs/>
          <w:sz w:val="24"/>
          <w:szCs w:val="24"/>
        </w:rPr>
        <w:t xml:space="preserve">人或委托代理人：【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】（签字</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盖章）</w:t>
      </w:r>
    </w:p>
    <w:p w14:paraId="678C836B">
      <w:pPr>
        <w:pStyle w:val="6"/>
        <w:spacing w:line="360" w:lineRule="auto"/>
        <w:rPr>
          <w:rFonts w:hint="default"/>
        </w:rPr>
      </w:pPr>
    </w:p>
    <w:p w14:paraId="311392A3">
      <w:pPr>
        <w:pStyle w:val="8"/>
        <w:spacing w:line="360" w:lineRule="auto"/>
        <w:rPr>
          <w:rFonts w:hint="default" w:eastAsia="宋体"/>
          <w:b w:val="0"/>
          <w:bCs w:val="0"/>
          <w:sz w:val="24"/>
          <w:szCs w:val="24"/>
          <w:highlight w:val="yellow"/>
        </w:rPr>
      </w:pP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日  期：【</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】日</w:t>
      </w:r>
      <w:bookmarkEnd w:id="5"/>
      <w:bookmarkEnd w:id="6"/>
      <w:bookmarkEnd w:id="7"/>
      <w:bookmarkEnd w:id="8"/>
      <w:bookmarkEnd w:id="9"/>
      <w:bookmarkEnd w:id="994"/>
    </w:p>
    <w:p w14:paraId="62BE8BD4">
      <w:pPr>
        <w:spacing w:before="156" w:beforeLines="50" w:after="156" w:afterLines="50" w:line="360" w:lineRule="auto"/>
        <w:ind w:right="600"/>
        <w:rPr>
          <w:rFonts w:hint="default" w:ascii="Times New Roman" w:hAnsi="Times New Roman" w:eastAsia="仿宋_GB2312" w:cs="Times New Roman"/>
          <w:sz w:val="24"/>
          <w:szCs w:val="24"/>
        </w:rPr>
      </w:pPr>
    </w:p>
    <w:p w14:paraId="658EC000">
      <w:pPr>
        <w:pStyle w:val="23"/>
        <w:rPr>
          <w:rFonts w:hint="default"/>
        </w:rPr>
      </w:pPr>
    </w:p>
    <w:p w14:paraId="086411DB">
      <w:pPr>
        <w:pStyle w:val="23"/>
        <w:rPr>
          <w:rFonts w:hint="default"/>
        </w:rPr>
      </w:pPr>
    </w:p>
    <w:p w14:paraId="193DEFB4">
      <w:pPr>
        <w:pStyle w:val="23"/>
        <w:rPr>
          <w:rFonts w:hint="default"/>
        </w:rPr>
      </w:pPr>
    </w:p>
    <w:p w14:paraId="44E43CFF">
      <w:pPr>
        <w:pStyle w:val="23"/>
        <w:rPr>
          <w:rFonts w:hint="default"/>
        </w:rPr>
      </w:pPr>
    </w:p>
    <w:p w14:paraId="49475574">
      <w:pPr>
        <w:pStyle w:val="23"/>
        <w:rPr>
          <w:rFonts w:hint="default"/>
        </w:rPr>
      </w:pPr>
    </w:p>
    <w:p w14:paraId="48D3F550">
      <w:pPr>
        <w:pStyle w:val="23"/>
        <w:rPr>
          <w:rFonts w:hint="default"/>
        </w:rPr>
      </w:pPr>
    </w:p>
    <w:p w14:paraId="32E087B8">
      <w:pPr>
        <w:numPr>
          <w:ilvl w:val="-1"/>
          <w:numId w:val="0"/>
        </w:numPr>
        <w:spacing w:before="260" w:after="260" w:line="600" w:lineRule="exact"/>
        <w:jc w:val="center"/>
        <w:outlineLvl w:val="1"/>
        <w:rPr>
          <w:rFonts w:hint="eastAsia" w:eastAsia="仿宋_GB2312" w:cs="Times New Roman"/>
          <w:b/>
          <w:sz w:val="32"/>
          <w:szCs w:val="32"/>
          <w:lang w:eastAsia="zh-CN"/>
        </w:rPr>
        <w:sectPr>
          <w:footerReference r:id="rId8" w:type="default"/>
          <w:pgSz w:w="11906" w:h="16838"/>
          <w:pgMar w:top="1440" w:right="1800" w:bottom="1440" w:left="1800" w:header="851" w:footer="992" w:gutter="0"/>
          <w:pgNumType w:start="1"/>
          <w:cols w:space="425" w:num="1"/>
          <w:docGrid w:type="lines" w:linePitch="312" w:charSpace="0"/>
        </w:sectPr>
      </w:pPr>
      <w:bookmarkStart w:id="1019" w:name="_Toc14403"/>
      <w:bookmarkStart w:id="1020" w:name="_Toc2278"/>
      <w:bookmarkStart w:id="1021" w:name="_Toc598"/>
      <w:bookmarkStart w:id="1022" w:name="_Toc25434"/>
      <w:bookmarkStart w:id="1023" w:name="_Toc11307"/>
      <w:bookmarkStart w:id="1024" w:name="_Toc13893"/>
      <w:bookmarkStart w:id="1025" w:name="_Toc15721"/>
      <w:bookmarkStart w:id="1026" w:name="_Toc18244"/>
      <w:bookmarkStart w:id="1027" w:name="_Toc27080"/>
      <w:bookmarkStart w:id="1028" w:name="_Toc6681"/>
      <w:bookmarkStart w:id="1029" w:name="_Toc19923"/>
      <w:bookmarkStart w:id="1030" w:name="_Toc12543"/>
      <w:bookmarkStart w:id="1031" w:name="_Toc23963"/>
      <w:bookmarkStart w:id="1032" w:name="_Toc26006"/>
      <w:bookmarkStart w:id="1033" w:name="_Toc30341"/>
      <w:bookmarkStart w:id="1034" w:name="_Toc29816"/>
    </w:p>
    <w:p w14:paraId="26B111D8">
      <w:pPr>
        <w:numPr>
          <w:ilvl w:val="0"/>
          <w:numId w:val="0"/>
        </w:numPr>
        <w:spacing w:before="260" w:after="260" w:line="600" w:lineRule="exact"/>
        <w:ind w:firstLine="0" w:firstLineChars="0"/>
        <w:jc w:val="center"/>
        <w:outlineLvl w:val="1"/>
        <w:rPr>
          <w:rFonts w:hint="eastAsia" w:ascii="仿宋_GB2312" w:hAnsi="仿宋_GB2312" w:eastAsia="仿宋_GB2312" w:cs="仿宋_GB2312"/>
          <w:b/>
          <w:bCs w:val="0"/>
          <w:sz w:val="24"/>
          <w:szCs w:val="24"/>
          <w:lang w:val="en-US" w:eastAsia="zh-CN"/>
        </w:rPr>
      </w:pPr>
      <w:bookmarkStart w:id="1035" w:name="_Toc8093"/>
      <w:bookmarkStart w:id="1036" w:name="_Toc11168"/>
      <w:bookmarkStart w:id="1037" w:name="_Toc14710"/>
      <w:bookmarkStart w:id="1038" w:name="_Toc16231"/>
      <w:bookmarkStart w:id="1039" w:name="_Toc16795"/>
      <w:bookmarkStart w:id="1040" w:name="_Toc29270"/>
      <w:bookmarkStart w:id="1041" w:name="_Toc24203"/>
      <w:bookmarkStart w:id="1042" w:name="_Toc1892"/>
      <w:bookmarkStart w:id="1043" w:name="_Toc14189"/>
      <w:r>
        <w:rPr>
          <w:rFonts w:hint="eastAsia" w:ascii="Times New Roman" w:hAnsi="Times New Roman" w:eastAsia="仿宋_GB2312" w:cs="Times New Roman"/>
          <w:b/>
          <w:kern w:val="2"/>
          <w:sz w:val="32"/>
          <w:szCs w:val="32"/>
          <w:lang w:val="en-US" w:eastAsia="zh-CN" w:bidi="ar-SA"/>
        </w:rPr>
        <w:t>（九）</w:t>
      </w:r>
      <w:r>
        <w:rPr>
          <w:rFonts w:hint="eastAsia" w:eastAsia="仿宋_GB2312" w:cs="Times New Roman"/>
          <w:b/>
          <w:sz w:val="32"/>
          <w:szCs w:val="32"/>
          <w:lang w:val="en-US" w:eastAsia="zh-CN"/>
        </w:rPr>
        <w:t>人员配置情况</w:t>
      </w:r>
      <w:bookmarkEnd w:id="1035"/>
      <w:bookmarkEnd w:id="1036"/>
      <w:bookmarkEnd w:id="1037"/>
      <w:bookmarkEnd w:id="1038"/>
      <w:bookmarkEnd w:id="1039"/>
      <w:bookmarkEnd w:id="1040"/>
      <w:bookmarkEnd w:id="1041"/>
      <w:bookmarkEnd w:id="1042"/>
      <w:bookmarkEnd w:id="1043"/>
      <w:bookmarkStart w:id="1044" w:name="_Toc11540"/>
      <w:bookmarkStart w:id="1045" w:name="_Toc8158"/>
      <w:bookmarkStart w:id="1046" w:name="_Toc22067"/>
      <w:bookmarkStart w:id="1047" w:name="_Toc9535"/>
      <w:bookmarkStart w:id="1048" w:name="_Toc27274"/>
    </w:p>
    <w:p w14:paraId="449B20F2">
      <w:pPr>
        <w:numPr>
          <w:ilvl w:val="-1"/>
          <w:numId w:val="0"/>
        </w:numPr>
        <w:spacing w:before="0" w:after="0" w:line="360" w:lineRule="auto"/>
        <w:ind w:firstLine="480" w:firstLineChars="200"/>
        <w:jc w:val="center"/>
        <w:outlineLvl w:val="9"/>
        <w:rPr>
          <w:rFonts w:hint="default" w:ascii="Times New Roman" w:hAnsi="Times New Roman" w:eastAsia="仿宋_GB2312" w:cs="Times New Roman"/>
          <w:b w:val="0"/>
          <w:bCs w:val="0"/>
          <w:sz w:val="24"/>
          <w:szCs w:val="24"/>
          <w:lang w:val="en-US" w:eastAsia="zh-CN"/>
        </w:rPr>
        <w:sectPr>
          <w:pgSz w:w="11906" w:h="16838"/>
          <w:pgMar w:top="1440" w:right="1800" w:bottom="1440" w:left="1800" w:header="851" w:footer="992" w:gutter="0"/>
          <w:cols w:space="425" w:num="1"/>
          <w:docGrid w:type="lines" w:linePitch="312" w:charSpace="0"/>
        </w:sectPr>
      </w:pPr>
      <w:bookmarkStart w:id="1049" w:name="_Toc18152"/>
      <w:r>
        <w:rPr>
          <w:rFonts w:hint="default" w:ascii="Times New Roman" w:hAnsi="Times New Roman" w:eastAsia="仿宋_GB2312" w:cs="Times New Roman"/>
          <w:b w:val="0"/>
          <w:bCs w:val="0"/>
          <w:sz w:val="24"/>
          <w:szCs w:val="24"/>
          <w:lang w:val="en-US" w:eastAsia="zh-CN"/>
        </w:rPr>
        <w:t>(团队成员构成、工作履历、项目经验等）</w:t>
      </w:r>
      <w:bookmarkEnd w:id="1044"/>
      <w:bookmarkEnd w:id="1045"/>
      <w:bookmarkEnd w:id="1046"/>
      <w:bookmarkEnd w:id="1047"/>
      <w:bookmarkEnd w:id="1048"/>
      <w:bookmarkEnd w:id="1049"/>
    </w:p>
    <w:p w14:paraId="12A6301C">
      <w:pPr>
        <w:numPr>
          <w:ilvl w:val="0"/>
          <w:numId w:val="0"/>
        </w:numPr>
        <w:spacing w:before="260" w:after="260" w:line="600" w:lineRule="exact"/>
        <w:jc w:val="center"/>
        <w:outlineLvl w:val="1"/>
        <w:rPr>
          <w:rFonts w:hint="eastAsia" w:ascii="Times New Roman" w:hAnsi="Times New Roman" w:eastAsia="仿宋_GB2312" w:cs="Times New Roman"/>
          <w:b/>
          <w:sz w:val="32"/>
          <w:szCs w:val="32"/>
          <w:lang w:val="en-US" w:eastAsia="zh-CN"/>
        </w:rPr>
        <w:sectPr>
          <w:pgSz w:w="11906" w:h="16838"/>
          <w:pgMar w:top="1440" w:right="1800" w:bottom="1440" w:left="1800" w:header="851" w:footer="992" w:gutter="0"/>
          <w:cols w:space="425" w:num="1"/>
          <w:docGrid w:type="lines" w:linePitch="312" w:charSpace="0"/>
        </w:sectPr>
      </w:pPr>
      <w:bookmarkStart w:id="1050" w:name="_Toc22270"/>
      <w:bookmarkStart w:id="1051" w:name="_Toc20750"/>
      <w:bookmarkStart w:id="1052" w:name="_Toc22457"/>
      <w:bookmarkStart w:id="1053" w:name="_Toc14311"/>
      <w:bookmarkStart w:id="1054" w:name="_Toc15276"/>
      <w:bookmarkStart w:id="1055" w:name="_Toc13374"/>
      <w:bookmarkStart w:id="1056" w:name="_Toc18138"/>
      <w:bookmarkStart w:id="1057" w:name="_Toc19712"/>
      <w:bookmarkStart w:id="1058" w:name="_Toc7786"/>
      <w:r>
        <w:rPr>
          <w:rFonts w:hint="eastAsia" w:eastAsia="仿宋_GB2312" w:cs="Times New Roman"/>
          <w:b/>
          <w:sz w:val="32"/>
          <w:szCs w:val="32"/>
          <w:lang w:val="en-US" w:eastAsia="zh-CN"/>
        </w:rPr>
        <w:t>（十）</w:t>
      </w:r>
      <w:r>
        <w:rPr>
          <w:rFonts w:hint="eastAsia" w:ascii="Times New Roman" w:hAnsi="Times New Roman" w:eastAsia="仿宋_GB2312" w:cs="Times New Roman"/>
          <w:b/>
          <w:sz w:val="32"/>
          <w:szCs w:val="32"/>
          <w:lang w:val="en-US" w:eastAsia="zh-CN"/>
        </w:rPr>
        <w:t>类似业绩证明材料</w:t>
      </w:r>
      <w:bookmarkEnd w:id="1050"/>
      <w:bookmarkEnd w:id="1051"/>
      <w:bookmarkEnd w:id="1052"/>
      <w:bookmarkEnd w:id="1053"/>
      <w:bookmarkEnd w:id="1054"/>
      <w:bookmarkEnd w:id="1055"/>
      <w:bookmarkEnd w:id="1056"/>
      <w:bookmarkEnd w:id="1057"/>
      <w:bookmarkEnd w:id="1058"/>
    </w:p>
    <w:p w14:paraId="0E4AFA6C">
      <w:pPr>
        <w:numPr>
          <w:ilvl w:val="-1"/>
          <w:numId w:val="0"/>
        </w:numPr>
        <w:spacing w:before="260" w:after="260" w:line="600" w:lineRule="exact"/>
        <w:jc w:val="center"/>
        <w:outlineLvl w:val="1"/>
        <w:rPr>
          <w:rFonts w:hint="default" w:ascii="Times New Roman" w:hAnsi="Times New Roman" w:eastAsia="仿宋_GB2312" w:cs="Times New Roman"/>
          <w:b/>
          <w:sz w:val="32"/>
          <w:szCs w:val="32"/>
        </w:rPr>
      </w:pPr>
      <w:bookmarkStart w:id="1059" w:name="_Toc4007"/>
      <w:bookmarkStart w:id="1060" w:name="_Toc25966"/>
      <w:bookmarkStart w:id="1061" w:name="_Toc15305"/>
      <w:bookmarkStart w:id="1062" w:name="_Toc19165"/>
      <w:bookmarkStart w:id="1063" w:name="_Toc10991"/>
      <w:bookmarkStart w:id="1064" w:name="_Toc15381"/>
      <w:bookmarkStart w:id="1065" w:name="_Toc22447"/>
      <w:bookmarkStart w:id="1066" w:name="_Toc9523"/>
      <w:bookmarkStart w:id="1067" w:name="_Toc1690"/>
      <w:r>
        <w:rPr>
          <w:rFonts w:hint="eastAsia" w:eastAsia="仿宋_GB2312" w:cs="Times New Roman"/>
          <w:b/>
          <w:sz w:val="32"/>
          <w:szCs w:val="32"/>
          <w:lang w:eastAsia="zh-CN"/>
        </w:rPr>
        <w:t>（</w:t>
      </w:r>
      <w:r>
        <w:rPr>
          <w:rFonts w:hint="eastAsia" w:eastAsia="仿宋_GB2312" w:cs="Times New Roman"/>
          <w:b/>
          <w:sz w:val="32"/>
          <w:szCs w:val="32"/>
          <w:lang w:val="en-US" w:eastAsia="zh-CN"/>
        </w:rPr>
        <w:t>十一</w:t>
      </w:r>
      <w:r>
        <w:rPr>
          <w:rFonts w:hint="eastAsia" w:eastAsia="仿宋_GB2312" w:cs="Times New Roman"/>
          <w:b/>
          <w:sz w:val="32"/>
          <w:szCs w:val="32"/>
          <w:lang w:eastAsia="zh-CN"/>
        </w:rPr>
        <w:t>）</w:t>
      </w:r>
      <w:r>
        <w:rPr>
          <w:rFonts w:hint="default" w:ascii="Times New Roman" w:hAnsi="Times New Roman" w:eastAsia="仿宋_GB2312" w:cs="Times New Roman"/>
          <w:b/>
          <w:sz w:val="32"/>
          <w:szCs w:val="32"/>
        </w:rPr>
        <w:t>项目服务方案</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59"/>
      <w:bookmarkEnd w:id="1060"/>
      <w:bookmarkEnd w:id="1061"/>
      <w:bookmarkEnd w:id="1062"/>
      <w:bookmarkEnd w:id="1063"/>
      <w:bookmarkEnd w:id="1064"/>
      <w:bookmarkEnd w:id="1065"/>
      <w:bookmarkEnd w:id="1066"/>
      <w:bookmarkEnd w:id="1067"/>
    </w:p>
    <w:p w14:paraId="57D542E5">
      <w:pPr>
        <w:spacing w:line="360" w:lineRule="auto"/>
        <w:ind w:firstLine="480" w:firstLineChars="20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比选申请人自拟格式，包括但不限于</w:t>
      </w:r>
      <w:r>
        <w:rPr>
          <w:rFonts w:hint="default" w:ascii="Times New Roman" w:hAnsi="Times New Roman" w:eastAsia="仿宋_GB2312" w:cs="Times New Roman"/>
          <w:sz w:val="24"/>
          <w:szCs w:val="24"/>
        </w:rPr>
        <w:t>比选申请人简介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项目组织方案</w:t>
      </w:r>
      <w:r>
        <w:rPr>
          <w:rFonts w:hint="eastAsia" w:eastAsia="仿宋_GB2312" w:cs="Times New Roman"/>
          <w:sz w:val="24"/>
          <w:szCs w:val="24"/>
          <w:lang w:eastAsia="zh-CN"/>
        </w:rPr>
        <w:t>、</w:t>
      </w:r>
      <w:r>
        <w:rPr>
          <w:rFonts w:hint="eastAsia" w:eastAsia="仿宋_GB2312" w:cs="Times New Roman"/>
          <w:sz w:val="24"/>
          <w:szCs w:val="24"/>
          <w:lang w:val="en-US" w:eastAsia="zh-CN"/>
        </w:rPr>
        <w:t>服务能力、</w:t>
      </w:r>
      <w:r>
        <w:rPr>
          <w:rFonts w:hint="default" w:ascii="Times New Roman" w:hAnsi="Times New Roman" w:eastAsia="仿宋_GB2312" w:cs="Times New Roman"/>
          <w:sz w:val="24"/>
          <w:szCs w:val="24"/>
        </w:rPr>
        <w:t>增值服务</w:t>
      </w:r>
      <w:r>
        <w:rPr>
          <w:rFonts w:hint="default" w:ascii="Times New Roman" w:hAnsi="Times New Roman" w:eastAsia="仿宋_GB2312" w:cs="Times New Roman"/>
          <w:sz w:val="24"/>
          <w:szCs w:val="24"/>
          <w:lang w:val="en-US" w:eastAsia="zh-CN"/>
        </w:rPr>
        <w:t>等</w:t>
      </w:r>
      <w:r>
        <w:rPr>
          <w:rFonts w:hint="default" w:ascii="Times New Roman" w:hAnsi="Times New Roman" w:eastAsia="仿宋_GB2312" w:cs="Times New Roman"/>
          <w:sz w:val="24"/>
          <w:szCs w:val="24"/>
          <w:lang w:eastAsia="zh-CN"/>
        </w:rPr>
        <w:t>）</w:t>
      </w:r>
    </w:p>
    <w:p w14:paraId="15F76106">
      <w:pPr>
        <w:numPr>
          <w:ilvl w:val="0"/>
          <w:numId w:val="0"/>
        </w:numPr>
        <w:spacing w:before="260" w:after="260" w:line="600" w:lineRule="exact"/>
        <w:jc w:val="both"/>
        <w:outlineLvl w:val="1"/>
        <w:rPr>
          <w:rFonts w:hint="default" w:ascii="Times New Roman" w:hAnsi="Times New Roman" w:eastAsia="仿宋_GB2312" w:cs="Times New Roman"/>
          <w:b/>
          <w:sz w:val="24"/>
          <w:szCs w:val="24"/>
        </w:rPr>
      </w:pPr>
    </w:p>
    <w:p w14:paraId="5333A11D">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6B9AEEFB">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43F4A4BA">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409ED85D">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50BED354">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1934697C">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08D913E4">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6B4E8486">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1B88313E">
      <w:pPr>
        <w:numPr>
          <w:ilvl w:val="0"/>
          <w:numId w:val="0"/>
        </w:numPr>
        <w:spacing w:before="260" w:after="260" w:line="600" w:lineRule="exact"/>
        <w:jc w:val="both"/>
        <w:outlineLvl w:val="1"/>
        <w:rPr>
          <w:rFonts w:hint="default" w:ascii="Times New Roman" w:hAnsi="Times New Roman" w:eastAsia="仿宋_GB2312" w:cs="Times New Roman"/>
          <w:b/>
          <w:sz w:val="28"/>
          <w:szCs w:val="28"/>
        </w:rPr>
      </w:pPr>
    </w:p>
    <w:p w14:paraId="0A49FB0A">
      <w:pPr>
        <w:snapToGrid w:val="0"/>
        <w:spacing w:line="360" w:lineRule="auto"/>
        <w:ind w:firstLine="3600" w:firstLineChars="1500"/>
        <w:jc w:val="center"/>
        <w:rPr>
          <w:rFonts w:hint="eastAsia" w:ascii="仿宋_GB2312" w:hAnsi="仿宋_GB2312" w:eastAsia="仿宋_GB2312" w:cs="仿宋_GB2312"/>
          <w:bCs/>
          <w:sz w:val="24"/>
          <w:szCs w:val="24"/>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比选申请人</w:t>
      </w:r>
      <w:r>
        <w:rPr>
          <w:rFonts w:hint="eastAsia" w:ascii="Times New Roman" w:hAnsi="Times New Roman" w:eastAsia="仿宋_GB2312" w:cs="Times New Roman"/>
          <w:sz w:val="24"/>
          <w:szCs w:val="24"/>
          <w:lang w:eastAsia="zh-CN"/>
        </w:rPr>
        <w:t>：</w:t>
      </w:r>
      <w:r>
        <w:rPr>
          <w:rFonts w:hint="eastAsia" w:ascii="仿宋_GB2312" w:hAnsi="仿宋_GB2312" w:eastAsia="仿宋_GB2312" w:cs="仿宋_GB2312"/>
          <w:sz w:val="24"/>
          <w:szCs w:val="24"/>
        </w:rPr>
        <w:t>【请填写全称】</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盖</w:t>
      </w:r>
      <w:r>
        <w:rPr>
          <w:rFonts w:hint="default" w:ascii="Times New Roman" w:hAnsi="Times New Roman" w:eastAsia="仿宋_GB2312" w:cs="Times New Roman"/>
          <w:sz w:val="24"/>
          <w:szCs w:val="24"/>
        </w:rPr>
        <w:t>章）</w:t>
      </w:r>
    </w:p>
    <w:p w14:paraId="7B93FF26">
      <w:pPr>
        <w:widowControl/>
        <w:snapToGrid w:val="0"/>
        <w:spacing w:line="360" w:lineRule="auto"/>
        <w:ind w:firstLine="420" w:firstLineChars="0"/>
        <w:jc w:val="righ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w:t>
      </w:r>
    </w:p>
    <w:p w14:paraId="6C23C066">
      <w:pPr>
        <w:snapToGrid w:val="0"/>
        <w:spacing w:line="360" w:lineRule="auto"/>
        <w:ind w:firstLine="420" w:firstLineChars="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 xml:space="preserve">                 法定代表</w:t>
      </w:r>
      <w:r>
        <w:rPr>
          <w:rFonts w:hint="eastAsia" w:ascii="仿宋_GB2312" w:hAnsi="仿宋_GB2312" w:eastAsia="仿宋_GB2312" w:cs="仿宋_GB2312"/>
          <w:bCs/>
          <w:sz w:val="24"/>
          <w:szCs w:val="24"/>
        </w:rPr>
        <w:t xml:space="preserve">人或委托代理人：【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rPr>
        <w:t>】（签字</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盖章）</w:t>
      </w:r>
    </w:p>
    <w:p w14:paraId="2F6BF589">
      <w:pPr>
        <w:pStyle w:val="6"/>
        <w:spacing w:line="360" w:lineRule="auto"/>
        <w:rPr>
          <w:rFonts w:hint="default"/>
        </w:rPr>
      </w:pPr>
    </w:p>
    <w:p w14:paraId="2D919ADA">
      <w:pPr>
        <w:pStyle w:val="8"/>
        <w:spacing w:line="360" w:lineRule="auto"/>
        <w:rPr>
          <w:rFonts w:hint="eastAsia" w:ascii="Times New Roman" w:hAnsi="Times New Roman" w:eastAsia="仿宋_GB2312" w:cs="Times New Roman"/>
          <w:sz w:val="24"/>
          <w:szCs w:val="24"/>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日  期：【</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】日</w:t>
      </w:r>
    </w:p>
    <w:p w14:paraId="00C418DB">
      <w:pPr>
        <w:numPr>
          <w:ilvl w:val="0"/>
          <w:numId w:val="0"/>
        </w:numPr>
        <w:spacing w:before="260" w:after="260" w:line="600" w:lineRule="exact"/>
        <w:jc w:val="center"/>
        <w:outlineLvl w:val="1"/>
        <w:rPr>
          <w:rFonts w:hint="eastAsia" w:ascii="Times New Roman" w:hAnsi="Times New Roman" w:eastAsia="仿宋_GB2312" w:cs="Times New Roman"/>
          <w:b/>
          <w:sz w:val="32"/>
          <w:szCs w:val="32"/>
          <w:lang w:val="en-US" w:eastAsia="zh-CN"/>
        </w:rPr>
      </w:pPr>
      <w:bookmarkStart w:id="1068" w:name="_Toc10488"/>
      <w:bookmarkStart w:id="1069" w:name="_Toc25908"/>
      <w:bookmarkStart w:id="1070" w:name="_Toc27064"/>
      <w:bookmarkStart w:id="1071" w:name="_Toc3887"/>
      <w:bookmarkStart w:id="1072" w:name="_Toc20151"/>
      <w:bookmarkStart w:id="1073" w:name="_Toc16405"/>
      <w:bookmarkStart w:id="1074" w:name="_Toc23689"/>
      <w:bookmarkStart w:id="1075" w:name="_Toc30282"/>
      <w:bookmarkStart w:id="1076" w:name="_Toc28222"/>
      <w:bookmarkStart w:id="1077" w:name="_Toc32724"/>
      <w:bookmarkStart w:id="1078" w:name="_Toc3624"/>
      <w:bookmarkStart w:id="1079" w:name="_Toc13825"/>
      <w:bookmarkStart w:id="1080" w:name="_Toc5905"/>
      <w:bookmarkStart w:id="1081" w:name="_Toc16396"/>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十</w:t>
      </w:r>
      <w:r>
        <w:rPr>
          <w:rFonts w:hint="eastAsia" w:eastAsia="仿宋_GB2312" w:cs="Times New Roman"/>
          <w:b/>
          <w:sz w:val="32"/>
          <w:szCs w:val="32"/>
          <w:lang w:val="en-US" w:eastAsia="zh-CN"/>
        </w:rPr>
        <w:t>二</w:t>
      </w:r>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最终报价表</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6A33BE37">
      <w:pPr>
        <w:pStyle w:val="29"/>
        <w:spacing w:line="560" w:lineRule="exact"/>
        <w:rPr>
          <w:rFonts w:ascii="Times New Roman" w:hAnsi="Times New Roman" w:cs="Times New Roman"/>
          <w:sz w:val="20"/>
          <w:szCs w:val="20"/>
        </w:rPr>
      </w:pPr>
      <w:r>
        <w:rPr>
          <w:rFonts w:hint="default" w:ascii="Times New Roman" w:hAnsi="Times New Roman" w:eastAsia="方正小标宋简体" w:cs="Times New Roman"/>
          <w:color w:val="auto"/>
          <w:sz w:val="28"/>
          <w:szCs w:val="28"/>
        </w:rPr>
        <w:t>（注：本表最终报价在谈判结束后现场填报，申请人可提前加盖公章）</w:t>
      </w:r>
    </w:p>
    <w:p w14:paraId="6F4364FA">
      <w:pPr>
        <w:spacing w:line="66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最终报价表</w:t>
      </w:r>
    </w:p>
    <w:p w14:paraId="3FA469CF">
      <w:pPr>
        <w:spacing w:before="156" w:beforeLines="50"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致：四川蜀道铁路运营管理集团有限责任公司</w:t>
      </w:r>
    </w:p>
    <w:p w14:paraId="6BDE1077">
      <w:pPr>
        <w:spacing w:line="560" w:lineRule="exact"/>
        <w:ind w:firstLine="540" w:firstLineChars="22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w:t>
      </w:r>
      <w:r>
        <w:rPr>
          <w:rFonts w:hint="eastAsia" w:ascii="仿宋_GB2312" w:hAnsi="仿宋_GB2312" w:eastAsia="仿宋_GB2312" w:cs="仿宋_GB2312"/>
          <w:sz w:val="24"/>
          <w:szCs w:val="24"/>
          <w:lang w:val="en-US" w:eastAsia="zh-CN"/>
        </w:rPr>
        <w:t>公司</w:t>
      </w:r>
      <w:r>
        <w:rPr>
          <w:rFonts w:hint="eastAsia" w:ascii="仿宋_GB2312" w:hAnsi="仿宋_GB2312" w:eastAsia="仿宋_GB2312" w:cs="仿宋_GB2312"/>
          <w:sz w:val="24"/>
          <w:szCs w:val="24"/>
        </w:rPr>
        <w:t>经过仔细研究，在充分理解和响应比选文件的基础上，我方对贵公司</w:t>
      </w:r>
      <w:r>
        <w:rPr>
          <w:rFonts w:hint="eastAsia" w:ascii="仿宋_GB2312" w:hAnsi="仿宋_GB2312" w:eastAsia="仿宋_GB2312" w:cs="仿宋_GB2312"/>
          <w:sz w:val="24"/>
          <w:szCs w:val="24"/>
          <w:lang w:val="en-US" w:eastAsia="zh-CN"/>
        </w:rPr>
        <w:t>2025年主体信用评级</w:t>
      </w:r>
      <w:r>
        <w:rPr>
          <w:rFonts w:hint="eastAsia" w:ascii="仿宋_GB2312" w:hAnsi="仿宋_GB2312" w:eastAsia="仿宋_GB2312" w:cs="仿宋_GB2312"/>
          <w:sz w:val="24"/>
          <w:szCs w:val="24"/>
        </w:rPr>
        <w:t>服务的最终报价如下：</w:t>
      </w:r>
    </w:p>
    <w:tbl>
      <w:tblPr>
        <w:tblStyle w:val="1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5670"/>
      </w:tblGrid>
      <w:tr w14:paraId="5836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48" w:type="dxa"/>
            <w:vAlign w:val="center"/>
          </w:tcPr>
          <w:p w14:paraId="52D17096">
            <w:pPr>
              <w:widowControl w:val="0"/>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申请人名称</w:t>
            </w:r>
          </w:p>
        </w:tc>
        <w:tc>
          <w:tcPr>
            <w:tcW w:w="5670" w:type="dxa"/>
            <w:vAlign w:val="center"/>
          </w:tcPr>
          <w:p w14:paraId="751025CD">
            <w:pPr>
              <w:widowControl w:val="0"/>
              <w:spacing w:line="560" w:lineRule="exact"/>
              <w:ind w:firstLine="120" w:firstLineChars="50"/>
              <w:jc w:val="center"/>
              <w:rPr>
                <w:rFonts w:hint="eastAsia" w:ascii="仿宋_GB2312" w:hAnsi="仿宋_GB2312" w:eastAsia="仿宋_GB2312" w:cs="仿宋_GB2312"/>
                <w:kern w:val="2"/>
                <w:sz w:val="24"/>
                <w:szCs w:val="24"/>
                <w:lang w:val="en-US"/>
              </w:rPr>
            </w:pPr>
            <w:r>
              <w:rPr>
                <w:rFonts w:hint="eastAsia" w:ascii="仿宋_GB2312" w:hAnsi="仿宋_GB2312" w:eastAsia="仿宋_GB2312" w:cs="仿宋_GB2312"/>
                <w:sz w:val="24"/>
                <w:szCs w:val="24"/>
                <w:lang w:val="en-US" w:eastAsia="zh-CN"/>
              </w:rPr>
              <w:t>2025年主体信用评级</w:t>
            </w:r>
            <w:r>
              <w:rPr>
                <w:rFonts w:hint="eastAsia" w:ascii="仿宋_GB2312" w:hAnsi="仿宋_GB2312" w:eastAsia="仿宋_GB2312" w:cs="仿宋_GB2312"/>
                <w:sz w:val="24"/>
                <w:szCs w:val="24"/>
              </w:rPr>
              <w:t>服务</w:t>
            </w:r>
            <w:r>
              <w:rPr>
                <w:rFonts w:hint="eastAsia" w:ascii="仿宋_GB2312" w:hAnsi="仿宋_GB2312" w:eastAsia="仿宋_GB2312" w:cs="仿宋_GB2312"/>
                <w:kern w:val="2"/>
                <w:sz w:val="24"/>
                <w:szCs w:val="24"/>
                <w:lang w:val="en-US" w:eastAsia="zh-CN"/>
              </w:rPr>
              <w:t>报价</w:t>
            </w:r>
          </w:p>
        </w:tc>
      </w:tr>
      <w:tr w14:paraId="59B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2948" w:type="dxa"/>
            <w:vAlign w:val="center"/>
          </w:tcPr>
          <w:p w14:paraId="6A0069F3">
            <w:pPr>
              <w:widowControl w:val="0"/>
              <w:spacing w:line="560" w:lineRule="exact"/>
              <w:jc w:val="center"/>
              <w:rPr>
                <w:rFonts w:hint="eastAsia" w:ascii="仿宋_GB2312" w:hAnsi="仿宋_GB2312" w:eastAsia="仿宋_GB2312" w:cs="仿宋_GB2312"/>
                <w:kern w:val="2"/>
                <w:sz w:val="24"/>
                <w:szCs w:val="24"/>
              </w:rPr>
            </w:pPr>
          </w:p>
        </w:tc>
        <w:tc>
          <w:tcPr>
            <w:tcW w:w="5670" w:type="dxa"/>
            <w:vAlign w:val="center"/>
          </w:tcPr>
          <w:p w14:paraId="1A1EBB45">
            <w:pPr>
              <w:widowControl w:val="0"/>
              <w:spacing w:line="560" w:lineRule="exact"/>
              <w:ind w:firstLine="240" w:firstLineChars="1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含税</w:t>
            </w:r>
            <w:r>
              <w:rPr>
                <w:rFonts w:hint="eastAsia" w:ascii="仿宋_GB2312" w:hAnsi="仿宋_GB2312" w:eastAsia="仿宋_GB2312" w:cs="仿宋_GB2312"/>
                <w:kern w:val="2"/>
                <w:sz w:val="24"/>
                <w:szCs w:val="24"/>
              </w:rPr>
              <w:t>金额（小写）：</w:t>
            </w:r>
            <w:r>
              <w:rPr>
                <w:rFonts w:hint="eastAsia" w:ascii="仿宋_GB2312" w:hAnsi="仿宋_GB2312" w:eastAsia="仿宋_GB2312" w:cs="仿宋_GB2312"/>
                <w:kern w:val="2"/>
                <w:sz w:val="24"/>
                <w:szCs w:val="24"/>
                <w:u w:val="single"/>
              </w:rPr>
              <w:t xml:space="preserve">         元</w:t>
            </w:r>
            <w:r>
              <w:rPr>
                <w:rFonts w:hint="eastAsia" w:ascii="仿宋_GB2312" w:hAnsi="仿宋_GB2312" w:eastAsia="仿宋_GB2312" w:cs="仿宋_GB2312"/>
                <w:kern w:val="2"/>
                <w:sz w:val="24"/>
                <w:szCs w:val="24"/>
                <w:u w:val="single"/>
                <w:lang w:eastAsia="zh-CN"/>
              </w:rPr>
              <w:t>（</w:t>
            </w:r>
            <w:r>
              <w:rPr>
                <w:rFonts w:hint="eastAsia" w:ascii="仿宋_GB2312" w:hAnsi="仿宋_GB2312" w:eastAsia="仿宋_GB2312" w:cs="仿宋_GB2312"/>
                <w:kern w:val="2"/>
                <w:sz w:val="24"/>
                <w:szCs w:val="24"/>
                <w:u w:val="single"/>
                <w:lang w:val="en-US" w:eastAsia="zh-CN"/>
              </w:rPr>
              <w:t>税率  %</w:t>
            </w:r>
            <w:r>
              <w:rPr>
                <w:rFonts w:hint="eastAsia" w:ascii="仿宋_GB2312" w:hAnsi="仿宋_GB2312" w:eastAsia="仿宋_GB2312" w:cs="仿宋_GB2312"/>
                <w:kern w:val="2"/>
                <w:sz w:val="24"/>
                <w:szCs w:val="24"/>
                <w:u w:val="single"/>
                <w:lang w:eastAsia="zh-CN"/>
              </w:rPr>
              <w:t>）</w:t>
            </w:r>
          </w:p>
          <w:p w14:paraId="342C3CCA">
            <w:pPr>
              <w:widowControl w:val="0"/>
              <w:spacing w:line="560" w:lineRule="exact"/>
              <w:ind w:firstLine="240" w:firstLineChars="1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大写：人民币</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w:t>
            </w:r>
          </w:p>
        </w:tc>
      </w:tr>
    </w:tbl>
    <w:p w14:paraId="4D3E4159">
      <w:pPr>
        <w:spacing w:after="0"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注：</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最终报价包括比选申请人完成本项目所需的一切费用。</w:t>
      </w:r>
    </w:p>
    <w:p w14:paraId="20B15FCC">
      <w:pPr>
        <w:spacing w:after="0" w:line="4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本表在谈判结束后由比选申请人的</w:t>
      </w:r>
      <w:r>
        <w:rPr>
          <w:rFonts w:hint="eastAsia" w:ascii="仿宋_GB2312" w:hAnsi="仿宋_GB2312" w:eastAsia="仿宋_GB2312" w:cs="仿宋_GB2312"/>
          <w:sz w:val="24"/>
          <w:szCs w:val="24"/>
          <w:lang w:val="en-US" w:eastAsia="zh-CN"/>
        </w:rPr>
        <w:t>法定代表人</w:t>
      </w:r>
      <w:r>
        <w:rPr>
          <w:rFonts w:hint="eastAsia" w:ascii="仿宋_GB2312" w:hAnsi="仿宋_GB2312" w:eastAsia="仿宋_GB2312" w:cs="仿宋_GB2312"/>
          <w:sz w:val="24"/>
          <w:szCs w:val="24"/>
        </w:rPr>
        <w:t>或委托代理人手工填写最终报价。</w:t>
      </w:r>
    </w:p>
    <w:p w14:paraId="44918D16">
      <w:pPr>
        <w:spacing w:after="0" w:line="4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最终报价超过本项目</w:t>
      </w:r>
      <w:r>
        <w:rPr>
          <w:rFonts w:hint="eastAsia" w:ascii="仿宋_GB2312" w:hAnsi="仿宋_GB2312" w:eastAsia="仿宋_GB2312" w:cs="仿宋_GB2312"/>
          <w:sz w:val="24"/>
          <w:szCs w:val="24"/>
          <w:lang w:val="en-US" w:eastAsia="zh-CN"/>
        </w:rPr>
        <w:t>最高限价</w:t>
      </w:r>
      <w:r>
        <w:rPr>
          <w:rFonts w:hint="eastAsia" w:ascii="仿宋_GB2312" w:hAnsi="仿宋_GB2312" w:eastAsia="仿宋_GB2312" w:cs="仿宋_GB2312"/>
          <w:sz w:val="24"/>
          <w:szCs w:val="24"/>
        </w:rPr>
        <w:t>的，作无效响应处理；</w:t>
      </w:r>
    </w:p>
    <w:p w14:paraId="4D3BBA17">
      <w:pPr>
        <w:spacing w:after="0" w:line="440" w:lineRule="exact"/>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rPr>
        <w:t>最终报价用于报价评分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并作为与各公司签订合同的费用依据。</w:t>
      </w:r>
    </w:p>
    <w:p w14:paraId="4BF1303A">
      <w:pPr>
        <w:pStyle w:val="8"/>
        <w:rPr>
          <w:rFonts w:hint="eastAsia" w:ascii="仿宋_GB2312" w:hAnsi="仿宋_GB2312" w:eastAsia="仿宋_GB2312" w:cs="仿宋_GB2312"/>
          <w:sz w:val="24"/>
          <w:szCs w:val="24"/>
        </w:rPr>
      </w:pPr>
    </w:p>
    <w:p w14:paraId="68AABED9">
      <w:pPr>
        <w:spacing w:after="0" w:line="560" w:lineRule="exact"/>
        <w:ind w:firstLine="480" w:firstLineChars="200"/>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比选申请人：</w:t>
      </w:r>
      <w:r>
        <w:rPr>
          <w:rFonts w:ascii="Times New Roman" w:hAnsi="Times New Roman" w:eastAsia="仿宋_GB2312" w:cs="Times New Roman"/>
          <w:sz w:val="24"/>
          <w:szCs w:val="24"/>
        </w:rPr>
        <w:t xml:space="preserve">                （单位盖章）</w:t>
      </w:r>
    </w:p>
    <w:p w14:paraId="4CFB54EA">
      <w:pPr>
        <w:spacing w:line="560" w:lineRule="exact"/>
        <w:ind w:firstLine="480" w:firstLineChars="200"/>
        <w:rPr>
          <w:rFonts w:hint="default"/>
          <w:sz w:val="24"/>
          <w:szCs w:val="24"/>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4"/>
          <w:szCs w:val="24"/>
        </w:rPr>
        <w:t>法定代表人（负责人）或授权代理人：</w:t>
      </w:r>
      <w:r>
        <w:rPr>
          <w:rFonts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t>（签字）</w:t>
      </w:r>
    </w:p>
    <w:p w14:paraId="215E62D7">
      <w:pPr>
        <w:numPr>
          <w:ilvl w:val="0"/>
          <w:numId w:val="0"/>
        </w:numPr>
        <w:spacing w:before="260" w:after="260" w:line="600" w:lineRule="exact"/>
        <w:jc w:val="center"/>
        <w:outlineLvl w:val="1"/>
        <w:rPr>
          <w:rFonts w:hint="eastAsia" w:ascii="Times New Roman" w:hAnsi="Times New Roman" w:eastAsia="仿宋_GB2312" w:cs="Times New Roman"/>
          <w:b/>
          <w:bCs w:val="0"/>
          <w:sz w:val="32"/>
          <w:szCs w:val="32"/>
          <w:lang w:val="en-US" w:eastAsia="zh-CN"/>
        </w:rPr>
        <w:sectPr>
          <w:footerReference r:id="rId9" w:type="default"/>
          <w:pgSz w:w="11906" w:h="16838"/>
          <w:pgMar w:top="1440" w:right="1800" w:bottom="1440" w:left="1800" w:header="851" w:footer="992" w:gutter="0"/>
          <w:cols w:space="425" w:num="1"/>
          <w:docGrid w:type="lines" w:linePitch="312" w:charSpace="0"/>
        </w:sectPr>
      </w:pPr>
      <w:bookmarkStart w:id="1082" w:name="_Toc28150"/>
      <w:bookmarkStart w:id="1083" w:name="_Toc1570"/>
      <w:bookmarkStart w:id="1084" w:name="_Toc20826"/>
      <w:r>
        <w:rPr>
          <w:rFonts w:hint="eastAsia" w:ascii="Times New Roman" w:hAnsi="Times New Roman" w:eastAsia="仿宋_GB2312" w:cs="Times New Roman"/>
          <w:b/>
          <w:bCs w:val="0"/>
          <w:sz w:val="32"/>
          <w:szCs w:val="32"/>
          <w:lang w:val="en-US" w:eastAsia="zh-CN"/>
        </w:rPr>
        <w:t>（十三）其他</w:t>
      </w:r>
      <w:bookmarkEnd w:id="1082"/>
      <w:bookmarkEnd w:id="1083"/>
      <w:bookmarkEnd w:id="1084"/>
    </w:p>
    <w:p w14:paraId="7F89484E">
      <w:pPr>
        <w:pStyle w:val="16"/>
        <w:spacing w:after="0"/>
        <w:ind w:left="0" w:leftChars="0" w:firstLine="0"/>
        <w:rPr>
          <w:rFonts w:hint="default"/>
          <w:lang w:val="en-US" w:eastAsia="zh-CN"/>
        </w:rPr>
      </w:pPr>
    </w:p>
    <w:p w14:paraId="07DB54DF">
      <w:pPr>
        <w:pStyle w:val="2"/>
        <w:spacing w:before="0" w:after="0" w:line="240" w:lineRule="auto"/>
        <w:jc w:val="center"/>
        <w:rPr>
          <w:rFonts w:hint="eastAsia" w:eastAsia="黑体"/>
          <w:color w:val="000000"/>
          <w:sz w:val="28"/>
          <w:szCs w:val="28"/>
          <w:lang w:val="en-US" w:eastAsia="zh-CN"/>
        </w:rPr>
      </w:pPr>
      <w:bookmarkStart w:id="1085" w:name="_Toc15163"/>
      <w:bookmarkStart w:id="1086" w:name="_Toc20202"/>
      <w:bookmarkStart w:id="1087" w:name="_Toc30557"/>
      <w:bookmarkStart w:id="1088" w:name="_Toc5594"/>
      <w:bookmarkStart w:id="1089" w:name="_Toc13115"/>
      <w:bookmarkStart w:id="1090" w:name="_Toc251"/>
      <w:bookmarkStart w:id="1091" w:name="_Toc8853"/>
      <w:bookmarkStart w:id="1092" w:name="_Toc27446"/>
      <w:bookmarkStart w:id="1093" w:name="_Toc19445"/>
      <w:bookmarkStart w:id="1094" w:name="_Toc6610"/>
      <w:bookmarkStart w:id="1095" w:name="_Toc19530"/>
      <w:bookmarkStart w:id="1096" w:name="_Toc31317"/>
      <w:bookmarkStart w:id="1097" w:name="_Toc12948"/>
      <w:bookmarkStart w:id="1098" w:name="_Toc19143"/>
      <w:r>
        <w:rPr>
          <w:rFonts w:hint="eastAsia" w:ascii="方正小标宋简体" w:hAnsi="方正小标宋简体" w:eastAsia="方正小标宋简体" w:cs="方正小标宋简体"/>
          <w:b w:val="0"/>
          <w:bCs w:val="0"/>
          <w:sz w:val="44"/>
          <w:szCs w:val="44"/>
          <w:lang w:val="en-US" w:eastAsia="zh-CN"/>
        </w:rPr>
        <w:t>第五章  合同条款及格式</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Pr>
          <w:rFonts w:hint="eastAsia" w:eastAsia="黑体"/>
          <w:color w:val="000000"/>
          <w:sz w:val="24"/>
          <w:szCs w:val="24"/>
          <w:lang w:val="en-US" w:eastAsia="zh-CN"/>
        </w:rPr>
        <w:t xml:space="preserve">                                         </w:t>
      </w:r>
      <w:r>
        <w:rPr>
          <w:rFonts w:hint="eastAsia" w:eastAsia="黑体"/>
          <w:color w:val="000000"/>
          <w:sz w:val="28"/>
          <w:szCs w:val="28"/>
          <w:lang w:val="en-US" w:eastAsia="zh-CN"/>
        </w:rPr>
        <w:t xml:space="preserve">         </w:t>
      </w:r>
    </w:p>
    <w:p w14:paraId="067FBC1F">
      <w:pPr>
        <w:jc w:val="center"/>
        <w:rPr>
          <w:rFonts w:hint="eastAsia" w:ascii="黑体" w:hAnsi="黑体" w:eastAsia="黑体" w:cs="黑体"/>
          <w:b/>
          <w:bCs/>
          <w:sz w:val="28"/>
          <w:szCs w:val="28"/>
        </w:rPr>
      </w:pPr>
      <w:bookmarkStart w:id="1099" w:name="_Toc8374"/>
      <w:r>
        <w:rPr>
          <w:rFonts w:hint="eastAsia" w:ascii="黑体" w:hAnsi="黑体" w:eastAsia="黑体" w:cs="黑体"/>
          <w:b/>
          <w:bCs/>
          <w:sz w:val="28"/>
          <w:szCs w:val="28"/>
        </w:rPr>
        <w:t>协议书登记编号</w:t>
      </w:r>
      <w:r>
        <w:rPr>
          <w:rFonts w:hint="eastAsia" w:ascii="黑体" w:hAnsi="黑体" w:eastAsia="黑体" w:cs="黑体"/>
          <w:b/>
          <w:bCs/>
          <w:sz w:val="28"/>
          <w:szCs w:val="28"/>
          <w:lang w:eastAsia="zh-CN"/>
        </w:rPr>
        <w:t>：</w:t>
      </w:r>
      <w:bookmarkEnd w:id="1099"/>
    </w:p>
    <w:p w14:paraId="3297CB97">
      <w:pPr>
        <w:spacing w:before="120" w:beforeLines="50" w:line="240" w:lineRule="auto"/>
        <w:jc w:val="center"/>
        <w:rPr>
          <w:rFonts w:eastAsia="仿宋_GB2312"/>
          <w:color w:val="000000"/>
          <w:sz w:val="28"/>
        </w:rPr>
      </w:pPr>
    </w:p>
    <w:p w14:paraId="531C42FE">
      <w:pPr>
        <w:spacing w:before="120" w:beforeLines="50" w:line="240" w:lineRule="auto"/>
        <w:jc w:val="center"/>
        <w:rPr>
          <w:rFonts w:eastAsia="黑体"/>
          <w:color w:val="000000"/>
          <w:sz w:val="84"/>
        </w:rPr>
      </w:pPr>
      <w:r>
        <w:rPr>
          <w:rFonts w:hint="eastAsia" w:eastAsia="黑体"/>
          <w:color w:val="000000"/>
          <w:sz w:val="84"/>
        </w:rPr>
        <w:t>信用评级委托协议书</w:t>
      </w:r>
    </w:p>
    <w:p w14:paraId="2568A338">
      <w:pPr>
        <w:spacing w:before="120" w:beforeLines="50" w:line="240" w:lineRule="auto"/>
        <w:rPr>
          <w:b/>
          <w:color w:val="000000"/>
          <w:sz w:val="48"/>
          <w:szCs w:val="48"/>
        </w:rPr>
      </w:pPr>
      <w:r>
        <w:rPr>
          <w:color w:val="000000"/>
        </w:rPr>
        <w:t xml:space="preserve">            </w:t>
      </w:r>
    </w:p>
    <w:p w14:paraId="30B68233">
      <w:pPr>
        <w:spacing w:before="120" w:beforeLines="50" w:line="240" w:lineRule="auto"/>
        <w:rPr>
          <w:color w:val="000000"/>
        </w:rPr>
      </w:pPr>
    </w:p>
    <w:p w14:paraId="563705FC">
      <w:pPr>
        <w:spacing w:before="120" w:beforeLines="50" w:line="240" w:lineRule="auto"/>
        <w:rPr>
          <w:color w:val="000000"/>
        </w:rPr>
      </w:pPr>
    </w:p>
    <w:p w14:paraId="6C951640">
      <w:pPr>
        <w:tabs>
          <w:tab w:val="left" w:pos="0"/>
        </w:tabs>
        <w:spacing w:before="120" w:beforeLines="50" w:line="240" w:lineRule="auto"/>
        <w:ind w:firstLine="902"/>
        <w:rPr>
          <w:rFonts w:hint="eastAsia" w:ascii="黑体" w:eastAsia="黑体"/>
          <w:color w:val="000000"/>
          <w:sz w:val="32"/>
        </w:rPr>
      </w:pPr>
      <w:r>
        <w:rPr>
          <w:rFonts w:hint="eastAsia" w:eastAsia="黑体"/>
          <w:color w:val="000000"/>
          <w:sz w:val="32"/>
        </w:rPr>
        <w:t>委托项目名称：主体信用评级</w:t>
      </w:r>
    </w:p>
    <w:p w14:paraId="1ACC00FF">
      <w:pPr>
        <w:tabs>
          <w:tab w:val="left" w:pos="0"/>
        </w:tabs>
        <w:spacing w:before="120" w:beforeLines="50" w:line="240" w:lineRule="auto"/>
        <w:ind w:firstLine="902"/>
        <w:rPr>
          <w:rFonts w:hint="eastAsia" w:eastAsia="黑体"/>
          <w:color w:val="000000"/>
          <w:sz w:val="32"/>
        </w:rPr>
      </w:pPr>
      <w:r>
        <w:rPr>
          <w:rFonts w:hint="eastAsia" w:eastAsia="黑体"/>
          <w:color w:val="000000"/>
          <w:sz w:val="32"/>
        </w:rPr>
        <w:t>委托方</w:t>
      </w:r>
      <w:r>
        <w:rPr>
          <w:rFonts w:eastAsia="黑体"/>
          <w:color w:val="000000"/>
          <w:sz w:val="32"/>
        </w:rPr>
        <w:t>(</w:t>
      </w:r>
      <w:r>
        <w:rPr>
          <w:rFonts w:hint="eastAsia" w:eastAsia="黑体"/>
          <w:color w:val="000000"/>
          <w:sz w:val="32"/>
        </w:rPr>
        <w:t>甲方</w:t>
      </w:r>
      <w:r>
        <w:rPr>
          <w:rFonts w:eastAsia="黑体"/>
          <w:color w:val="000000"/>
          <w:sz w:val="32"/>
        </w:rPr>
        <w:t>)</w:t>
      </w:r>
      <w:r>
        <w:rPr>
          <w:rFonts w:hint="eastAsia" w:eastAsia="黑体"/>
          <w:color w:val="000000"/>
          <w:sz w:val="32"/>
        </w:rPr>
        <w:t xml:space="preserve">： </w:t>
      </w:r>
    </w:p>
    <w:p w14:paraId="740A7B08">
      <w:pPr>
        <w:tabs>
          <w:tab w:val="left" w:pos="0"/>
        </w:tabs>
        <w:spacing w:before="120" w:beforeLines="50" w:line="240" w:lineRule="auto"/>
        <w:ind w:firstLine="902"/>
        <w:rPr>
          <w:rFonts w:eastAsia="楷体_GB2312"/>
          <w:color w:val="000000"/>
          <w:sz w:val="32"/>
        </w:rPr>
      </w:pPr>
      <w:r>
        <w:rPr>
          <w:rFonts w:hint="eastAsia" w:eastAsia="黑体"/>
          <w:color w:val="000000"/>
          <w:sz w:val="32"/>
        </w:rPr>
        <w:t>受托方</w:t>
      </w:r>
      <w:r>
        <w:rPr>
          <w:rFonts w:eastAsia="黑体"/>
          <w:color w:val="000000"/>
          <w:sz w:val="32"/>
        </w:rPr>
        <w:t>(</w:t>
      </w:r>
      <w:r>
        <w:rPr>
          <w:rFonts w:hint="eastAsia" w:eastAsia="黑体"/>
          <w:color w:val="000000"/>
          <w:sz w:val="32"/>
        </w:rPr>
        <w:t>乙方</w:t>
      </w:r>
      <w:r>
        <w:rPr>
          <w:rFonts w:eastAsia="黑体"/>
          <w:color w:val="000000"/>
          <w:sz w:val="32"/>
        </w:rPr>
        <w:t>)</w:t>
      </w:r>
      <w:r>
        <w:rPr>
          <w:rFonts w:hint="eastAsia" w:eastAsia="黑体"/>
          <w:color w:val="000000"/>
          <w:sz w:val="32"/>
        </w:rPr>
        <w:t>：</w:t>
      </w:r>
      <w:r>
        <w:rPr>
          <w:rFonts w:eastAsia="楷体_GB2312"/>
          <w:color w:val="000000"/>
          <w:sz w:val="32"/>
        </w:rPr>
        <w:t xml:space="preserve"> </w:t>
      </w:r>
    </w:p>
    <w:p w14:paraId="631EFD36">
      <w:pPr>
        <w:tabs>
          <w:tab w:val="left" w:pos="0"/>
        </w:tabs>
        <w:spacing w:before="120" w:beforeLines="50" w:line="240" w:lineRule="auto"/>
        <w:ind w:firstLine="902"/>
        <w:rPr>
          <w:rFonts w:eastAsia="楷体_GB2312"/>
          <w:b/>
          <w:color w:val="000000"/>
          <w:sz w:val="32"/>
        </w:rPr>
      </w:pPr>
    </w:p>
    <w:p w14:paraId="46539978">
      <w:pPr>
        <w:tabs>
          <w:tab w:val="left" w:pos="0"/>
        </w:tabs>
        <w:spacing w:before="120" w:beforeLines="50" w:line="240" w:lineRule="auto"/>
        <w:rPr>
          <w:rFonts w:hint="eastAsia" w:eastAsia="黑体"/>
          <w:color w:val="000000"/>
          <w:sz w:val="32"/>
        </w:rPr>
      </w:pPr>
    </w:p>
    <w:p w14:paraId="00E6CCF1">
      <w:pPr>
        <w:spacing w:before="120" w:beforeLines="50" w:line="240" w:lineRule="auto"/>
        <w:ind w:firstLine="902"/>
        <w:rPr>
          <w:rFonts w:hint="eastAsia" w:eastAsia="黑体"/>
          <w:color w:val="000000"/>
          <w:sz w:val="32"/>
        </w:rPr>
      </w:pPr>
      <w:r>
        <w:rPr>
          <w:color w:val="000000"/>
          <w:sz w:val="32"/>
        </w:rP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351155</wp:posOffset>
                </wp:positionV>
                <wp:extent cx="29724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97243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pt;margin-top:27.65pt;height:0.05pt;width:234.05pt;z-index:251659264;mso-width-relative:page;mso-height-relative:page;" filled="f" stroked="t" coordsize="21600,21600" o:allowincell="f" o:gfxdata="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q1Y9kAAAAJAQAADwAAAAAAAAABACAAAAAiAAAAZHJzL2Rvd25yZXYueG1s&#10;UEsBAhQAFAAAAAgAh07iQIeU9Dv3AQAA5wMAAA4AAAAAAAAAAQAgAAAAKAEAAGRycy9lMm9Eb2Mu&#10;eG1sUEsFBgAAAAAGAAYAWQEAAJEFAAAAAA==&#10;">
                <v:fill on="f" focussize="0,0"/>
                <v:stroke weight="1pt" color="#000000" joinstyle="round"/>
                <v:imagedata o:title=""/>
                <o:lock v:ext="edit" aspectratio="f"/>
              </v:line>
            </w:pict>
          </mc:Fallback>
        </mc:AlternateContent>
      </w:r>
      <w:r>
        <w:rPr>
          <w:rFonts w:hint="eastAsia" w:eastAsia="黑体"/>
          <w:color w:val="000000"/>
          <w:sz w:val="32"/>
        </w:rPr>
        <w:t xml:space="preserve">签订地点：          </w:t>
      </w:r>
    </w:p>
    <w:p w14:paraId="4F127DC3">
      <w:pPr>
        <w:spacing w:before="120" w:beforeLines="50" w:line="240" w:lineRule="auto"/>
        <w:ind w:firstLine="902"/>
        <w:rPr>
          <w:rFonts w:hint="eastAsia" w:eastAsia="黑体"/>
          <w:color w:val="000000"/>
          <w:sz w:val="32"/>
        </w:rPr>
      </w:pPr>
    </w:p>
    <w:p w14:paraId="16628181">
      <w:pPr>
        <w:spacing w:before="120" w:beforeLines="50" w:line="240" w:lineRule="auto"/>
        <w:ind w:firstLine="902"/>
        <w:rPr>
          <w:rFonts w:eastAsia="黑体"/>
          <w:color w:val="000000"/>
          <w:sz w:val="32"/>
        </w:rPr>
      </w:pPr>
      <w:r>
        <w:rPr>
          <w:color w:val="000000"/>
          <w:sz w:val="32"/>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391795</wp:posOffset>
                </wp:positionV>
                <wp:extent cx="29724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97243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pt;margin-top:30.85pt;height:0.05pt;width:234.05pt;z-index:251660288;mso-width-relative:page;mso-height-relative:page;" filled="f" stroked="t" coordsize="21600,21600" o:allowincell="f" o:gfxdata="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O9ZK3YAAAACQEAAA8AAAAAAAAAAQAgAAAAIgAAAGRycy9kb3ducmV2LnhtbFBL&#10;AQIUABQAAAAIAIdO4kCASsbq9gEAAOcDAAAOAAAAAAAAAAEAIAAAACcBAABkcnMvZTJvRG9jLnht&#10;bFBLBQYAAAAABgAGAFkBAACPBQAAAAA=&#10;">
                <v:fill on="f" focussize="0,0"/>
                <v:stroke weight="1pt" color="#000000" joinstyle="round"/>
                <v:imagedata o:title=""/>
                <o:lock v:ext="edit" aspectratio="f"/>
              </v:line>
            </w:pict>
          </mc:Fallback>
        </mc:AlternateContent>
      </w:r>
      <w:r>
        <w:rPr>
          <w:rFonts w:hint="eastAsia" w:eastAsia="黑体"/>
          <w:color w:val="000000"/>
          <w:sz w:val="32"/>
        </w:rPr>
        <w:t xml:space="preserve">签订时间：     </w:t>
      </w:r>
      <w:r>
        <w:rPr>
          <w:rFonts w:eastAsia="黑体"/>
          <w:color w:val="000000"/>
          <w:sz w:val="32"/>
        </w:rPr>
        <w:t xml:space="preserve">  </w:t>
      </w:r>
      <w:r>
        <w:rPr>
          <w:rFonts w:hint="eastAsia" w:eastAsia="黑体"/>
          <w:color w:val="000000"/>
          <w:sz w:val="32"/>
        </w:rPr>
        <w:t xml:space="preserve">年 </w:t>
      </w:r>
      <w:r>
        <w:rPr>
          <w:rFonts w:hint="eastAsia" w:eastAsia="黑体"/>
          <w:color w:val="000000"/>
          <w:sz w:val="32"/>
          <w:lang w:val="en-US" w:eastAsia="zh-CN"/>
        </w:rPr>
        <w:t xml:space="preserve">   </w:t>
      </w:r>
      <w:r>
        <w:rPr>
          <w:rFonts w:hint="eastAsia" w:eastAsia="黑体"/>
          <w:color w:val="000000"/>
          <w:sz w:val="32"/>
        </w:rPr>
        <w:t xml:space="preserve"> 月</w:t>
      </w:r>
      <w:r>
        <w:rPr>
          <w:rFonts w:hint="eastAsia" w:eastAsia="黑体"/>
          <w:color w:val="000000"/>
          <w:sz w:val="32"/>
          <w:lang w:val="en-US" w:eastAsia="zh-CN"/>
        </w:rPr>
        <w:t xml:space="preserve">  </w:t>
      </w:r>
      <w:r>
        <w:rPr>
          <w:rFonts w:hint="eastAsia" w:eastAsia="黑体"/>
          <w:color w:val="000000"/>
          <w:sz w:val="32"/>
        </w:rPr>
        <w:t xml:space="preserve">  日</w:t>
      </w:r>
    </w:p>
    <w:p w14:paraId="3E140406">
      <w:pPr>
        <w:spacing w:before="120" w:beforeLines="50" w:line="570" w:lineRule="exact"/>
        <w:rPr>
          <w:rFonts w:eastAsia="黑体"/>
          <w:color w:val="000000"/>
          <w:sz w:val="32"/>
        </w:rPr>
        <w:sectPr>
          <w:footerReference r:id="rId10" w:type="default"/>
          <w:pgSz w:w="11906" w:h="16838"/>
          <w:pgMar w:top="1440" w:right="1800" w:bottom="1440" w:left="1800" w:header="851" w:footer="992" w:gutter="0"/>
          <w:cols w:space="425" w:num="1"/>
          <w:docGrid w:type="lines" w:linePitch="312" w:charSpace="0"/>
        </w:sectPr>
      </w:pPr>
    </w:p>
    <w:p w14:paraId="41087AA5">
      <w:pPr>
        <w:spacing w:before="120" w:beforeLines="50" w:line="57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委托方：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（以下简称甲方）</w:t>
      </w:r>
    </w:p>
    <w:p w14:paraId="049454D1">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住所地： </w:t>
      </w:r>
    </w:p>
    <w:p w14:paraId="07AD486F">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 </w:t>
      </w:r>
    </w:p>
    <w:p w14:paraId="1842A052">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0D3F2A3C">
      <w:pPr>
        <w:spacing w:before="120" w:beforeLines="50" w:line="570" w:lineRule="exact"/>
        <w:rPr>
          <w:rFonts w:hint="eastAsia" w:ascii="仿宋_GB2312" w:hAnsi="仿宋_GB2312" w:eastAsia="仿宋_GB2312" w:cs="仿宋_GB2312"/>
          <w:color w:val="000000"/>
          <w:sz w:val="32"/>
          <w:szCs w:val="32"/>
        </w:rPr>
      </w:pPr>
    </w:p>
    <w:p w14:paraId="7225B4F1">
      <w:pPr>
        <w:spacing w:before="120" w:beforeLines="50" w:line="57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受托方：                           （以下简称乙方）</w:t>
      </w:r>
    </w:p>
    <w:p w14:paraId="155F87B0">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住所地：</w:t>
      </w:r>
    </w:p>
    <w:p w14:paraId="12A26B47">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p>
    <w:p w14:paraId="4C7A5ACE">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7701F893">
      <w:pPr>
        <w:spacing w:before="120" w:beforeLines="50" w:line="570" w:lineRule="exact"/>
        <w:rPr>
          <w:rFonts w:hint="eastAsia" w:ascii="仿宋_GB2312" w:hAnsi="仿宋_GB2312" w:eastAsia="仿宋_GB2312" w:cs="仿宋_GB2312"/>
          <w:color w:val="000000"/>
          <w:sz w:val="32"/>
          <w:szCs w:val="32"/>
        </w:rPr>
      </w:pPr>
    </w:p>
    <w:p w14:paraId="46B8356E">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甲方和乙方以下合称为“双方”或单独称为“一方”。</w:t>
      </w:r>
    </w:p>
    <w:p w14:paraId="2319215D">
      <w:pPr>
        <w:spacing w:before="120" w:beforeLines="50" w:line="570" w:lineRule="exact"/>
        <w:rPr>
          <w:rFonts w:hint="eastAsia" w:ascii="仿宋_GB2312" w:hAnsi="仿宋_GB2312" w:eastAsia="仿宋_GB2312" w:cs="仿宋_GB2312"/>
          <w:color w:val="000000"/>
          <w:sz w:val="32"/>
          <w:szCs w:val="32"/>
        </w:rPr>
      </w:pPr>
    </w:p>
    <w:p w14:paraId="25C24EBC">
      <w:pPr>
        <w:spacing w:before="120" w:beforeLines="50" w:line="57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鉴于：</w:t>
      </w:r>
    </w:p>
    <w:p w14:paraId="3304D4C4">
      <w:pPr>
        <w:spacing w:before="120" w:beforeLines="50" w:line="570" w:lineRule="exact"/>
        <w:ind w:left="567" w:hanging="567"/>
        <w:rPr>
          <w:rFonts w:hint="eastAsia" w:ascii="仿宋_GB2312" w:hAnsi="仿宋_GB2312" w:eastAsia="仿宋_GB2312" w:cs="仿宋_GB2312"/>
          <w:color w:val="0070C0"/>
          <w:sz w:val="32"/>
          <w:szCs w:val="32"/>
        </w:rPr>
      </w:pPr>
      <w:r>
        <w:rPr>
          <w:rFonts w:hint="eastAsia" w:ascii="仿宋_GB2312" w:hAnsi="仿宋_GB2312" w:eastAsia="仿宋_GB2312" w:cs="仿宋_GB2312"/>
          <w:color w:val="000000"/>
          <w:sz w:val="32"/>
          <w:szCs w:val="32"/>
        </w:rPr>
        <w:t>(A)</w:t>
      </w:r>
      <w:r>
        <w:rPr>
          <w:rFonts w:hint="eastAsia" w:ascii="仿宋_GB2312" w:hAnsi="仿宋_GB2312" w:eastAsia="仿宋_GB2312" w:cs="仿宋_GB2312"/>
          <w:sz w:val="32"/>
          <w:szCs w:val="32"/>
        </w:rPr>
        <w:t>甲方拟委托乙方进行主体信用评级；</w:t>
      </w:r>
    </w:p>
    <w:p w14:paraId="3EA102D6">
      <w:pPr>
        <w:widowControl/>
        <w:snapToGrid w:val="0"/>
        <w:spacing w:before="120" w:beforeLines="50" w:after="120" w:afterLines="50" w:line="570" w:lineRule="exact"/>
        <w:ind w:left="425" w:hanging="566" w:hangingChars="177"/>
        <w:rPr>
          <w:rFonts w:hint="eastAsia" w:ascii="仿宋_GB2312" w:hAnsi="仿宋_GB2312" w:eastAsia="仿宋_GB2312" w:cs="仿宋_GB2312"/>
          <w:color w:val="0070C0"/>
          <w:sz w:val="32"/>
          <w:szCs w:val="32"/>
        </w:rPr>
      </w:pPr>
      <w:r>
        <w:rPr>
          <w:rFonts w:hint="eastAsia" w:ascii="仿宋_GB2312" w:hAnsi="仿宋_GB2312" w:eastAsia="仿宋_GB2312" w:cs="仿宋_GB2312"/>
          <w:color w:val="000000"/>
          <w:sz w:val="32"/>
          <w:szCs w:val="32"/>
        </w:rPr>
        <w:t>(B)</w:t>
      </w:r>
      <w:r>
        <w:rPr>
          <w:rFonts w:hint="eastAsia" w:ascii="仿宋_GB2312" w:hAnsi="仿宋_GB2312" w:eastAsia="仿宋_GB2312" w:cs="仿宋_GB2312"/>
          <w:sz w:val="32"/>
          <w:szCs w:val="32"/>
        </w:rPr>
        <w:t>乙方愿意接受甲方委托对甲方进行主体信用评级。</w:t>
      </w:r>
    </w:p>
    <w:p w14:paraId="1C724670">
      <w:pPr>
        <w:spacing w:before="120" w:beforeLines="50" w:line="570" w:lineRule="exact"/>
        <w:ind w:firstLine="5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经友好协商，并根据适用的法律法规的规定，双方就信用评级的有关事项达成以下协议，以资共同遵守：</w:t>
      </w:r>
    </w:p>
    <w:p w14:paraId="317A23E6">
      <w:pPr>
        <w:spacing w:before="120" w:beforeLines="50" w:line="570" w:lineRule="exact"/>
        <w:ind w:firstLine="627" w:firstLineChars="196"/>
        <w:rPr>
          <w:rFonts w:hint="eastAsia" w:ascii="黑体" w:hAnsi="宋体" w:eastAsia="黑体"/>
          <w:b w:val="0"/>
          <w:bCs/>
          <w:color w:val="000000"/>
          <w:sz w:val="32"/>
          <w:szCs w:val="32"/>
        </w:rPr>
      </w:pPr>
      <w:r>
        <w:rPr>
          <w:rFonts w:hint="eastAsia" w:ascii="黑体" w:hAnsi="宋体" w:eastAsia="黑体"/>
          <w:b w:val="0"/>
          <w:bCs/>
          <w:color w:val="000000"/>
          <w:sz w:val="32"/>
          <w:szCs w:val="32"/>
        </w:rPr>
        <w:t>第一条  委托事项</w:t>
      </w:r>
    </w:p>
    <w:p w14:paraId="77351451">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sz w:val="32"/>
          <w:szCs w:val="32"/>
        </w:rPr>
        <w:t>甲方委托乙方承做甲方的主体信用评级。乙方应向甲方或甲方指定的第三方提交主体信用评级报告，评级报告中应载明主体信用评级结果。</w:t>
      </w:r>
    </w:p>
    <w:p w14:paraId="5727C4EA">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体信用评级结果有效期为一年，自主体信用评级结果首次出具日开始计算。为避免疑义，乙方根据监管要求对甲方的主体信用状况进行不定期跟踪评级，并根据不定期跟踪评级的情况对评级结果进行调整，不视为对主体信用评级结果有效期的延长。</w:t>
      </w:r>
    </w:p>
    <w:p w14:paraId="0282FE50">
      <w:pPr>
        <w:spacing w:before="120" w:before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1.2评级报告交付时间：</w:t>
      </w:r>
      <w:r>
        <w:rPr>
          <w:rFonts w:hint="eastAsia" w:ascii="仿宋_GB2312" w:hAnsi="仿宋_GB2312" w:eastAsia="仿宋_GB2312" w:cs="仿宋_GB2312"/>
          <w:sz w:val="32"/>
          <w:szCs w:val="32"/>
        </w:rPr>
        <w:t>在满足监管机构对于评级机构出具正式评级报告的最低时限要求，且甲方向乙方提供完备评级资料的前提下，乙方按甲方要求及时出具。</w:t>
      </w:r>
    </w:p>
    <w:p w14:paraId="3C3703D8">
      <w:pPr>
        <w:widowControl/>
        <w:tabs>
          <w:tab w:val="left" w:pos="709"/>
          <w:tab w:val="left" w:pos="1428"/>
          <w:tab w:val="left" w:pos="2126"/>
          <w:tab w:val="left" w:pos="2835"/>
          <w:tab w:val="left" w:pos="3544"/>
          <w:tab w:val="left" w:pos="4253"/>
          <w:tab w:val="left" w:pos="4961"/>
          <w:tab w:val="left" w:pos="5670"/>
          <w:tab w:val="right" w:pos="8363"/>
        </w:tabs>
        <w:adjustRightInd/>
        <w:spacing w:before="120" w:beforeLines="50"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甲乙双方确认：乙方的评级为一种意见，而并非事实性陈述或推荐购买、持有或出售任何债务融资工具；甲方不应向乙方寻求任何财务性、顾问性、咨询服务，乙方也无义务向甲方提供任何财务性、顾问性、咨询服务。</w:t>
      </w:r>
    </w:p>
    <w:p w14:paraId="6FC46BFC">
      <w:pPr>
        <w:spacing w:before="120" w:beforeLines="50" w:line="570" w:lineRule="exact"/>
        <w:ind w:firstLine="627" w:firstLineChars="196"/>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第二条  评级费用</w:t>
      </w:r>
    </w:p>
    <w:p w14:paraId="60EF9997">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2.1本协议项下主体信用评级费用为</w:t>
      </w:r>
      <w:r>
        <w:rPr>
          <w:rFonts w:hint="eastAsia" w:ascii="仿宋_GB2312" w:hAnsi="仿宋_GB2312" w:eastAsia="仿宋_GB2312" w:cs="仿宋_GB2312"/>
          <w:sz w:val="32"/>
          <w:szCs w:val="32"/>
        </w:rPr>
        <w:t>人民币    万元（大写：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不含税金额为     万元(大写：     )，税率6%，税额       万元(大写：     )</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甲方应于本协议生效后</w:t>
      </w:r>
      <w:r>
        <w:rPr>
          <w:rFonts w:hint="eastAsia" w:ascii="仿宋_GB2312" w:hAnsi="仿宋_GB2312" w:eastAsia="仿宋_GB2312" w:cs="仿宋_GB2312"/>
          <w:color w:val="000000"/>
          <w:sz w:val="32"/>
          <w:szCs w:val="32"/>
          <w:lang w:val="en-US" w:eastAsia="zh-CN"/>
        </w:rPr>
        <w:t>10个工作</w:t>
      </w:r>
      <w:r>
        <w:rPr>
          <w:rFonts w:hint="eastAsia" w:ascii="仿宋_GB2312" w:hAnsi="仿宋_GB2312" w:eastAsia="仿宋_GB2312" w:cs="仿宋_GB2312"/>
          <w:color w:val="000000"/>
          <w:sz w:val="32"/>
          <w:szCs w:val="32"/>
        </w:rPr>
        <w:t>日内并在乙方进场前将上述费用一次性全额支付给乙方。</w:t>
      </w:r>
    </w:p>
    <w:p w14:paraId="3E81DA9C">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w:t>
      </w:r>
      <w:r>
        <w:rPr>
          <w:rFonts w:hint="eastAsia" w:ascii="仿宋_GB2312" w:hAnsi="仿宋_GB2312" w:eastAsia="仿宋_GB2312" w:cs="仿宋_GB2312"/>
          <w:sz w:val="32"/>
          <w:szCs w:val="32"/>
        </w:rPr>
        <w:t>乙方账户</w:t>
      </w:r>
    </w:p>
    <w:p w14:paraId="389DE143">
      <w:pPr>
        <w:spacing w:before="120" w:beforeLines="50" w:line="570" w:lineRule="exact"/>
        <w:ind w:firstLine="640" w:firstLineChars="200"/>
        <w:rPr>
          <w:rFonts w:hint="eastAsia" w:ascii="仿宋_GB2312" w:hAnsi="仿宋_GB2312" w:eastAsia="仿宋_GB2312" w:cs="仿宋_GB2312"/>
          <w:color w:val="000000"/>
          <w:sz w:val="32"/>
          <w:szCs w:val="32"/>
        </w:rPr>
      </w:pPr>
    </w:p>
    <w:p w14:paraId="3BBBDF81">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开户银行： </w:t>
      </w:r>
    </w:p>
    <w:p w14:paraId="42D3FDB2">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开户账号：</w:t>
      </w:r>
    </w:p>
    <w:p w14:paraId="17E6FD4C">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开户全称： </w:t>
      </w:r>
    </w:p>
    <w:p w14:paraId="2274DD16">
      <w:pPr>
        <w:spacing w:before="120" w:beforeLines="50" w:line="57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2.3甲方开票信息</w:t>
      </w:r>
    </w:p>
    <w:p w14:paraId="5E39A640">
      <w:pPr>
        <w:spacing w:before="120" w:beforeLines="50" w:line="57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单位名称：四川蜀道铁路运营管理集团有限责任公司</w:t>
      </w:r>
    </w:p>
    <w:p w14:paraId="79B3BB81">
      <w:pPr>
        <w:spacing w:before="120" w:beforeLines="50" w:line="57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单位地址：四川省成都市武侯区太平寺西路3号</w:t>
      </w:r>
    </w:p>
    <w:p w14:paraId="07A7EF8F">
      <w:pPr>
        <w:spacing w:before="120" w:beforeLines="50" w:line="57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电    话：13980520290</w:t>
      </w:r>
    </w:p>
    <w:p w14:paraId="6C1B70A4">
      <w:pPr>
        <w:spacing w:before="120" w:beforeLines="50" w:line="57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税    号: 9151 0107 MA7F A6UL 75</w:t>
      </w:r>
    </w:p>
    <w:p w14:paraId="0F451AFF">
      <w:pPr>
        <w:spacing w:before="120" w:beforeLines="50" w:line="57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开户银行:中国农业银行股份有限公司成都科技园支行</w:t>
      </w:r>
    </w:p>
    <w:p w14:paraId="3C832EA3">
      <w:pPr>
        <w:spacing w:before="120" w:beforeLines="50" w:line="57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银行账户：2280 48010400 2430 8</w:t>
      </w:r>
    </w:p>
    <w:p w14:paraId="7C0323F4">
      <w:pPr>
        <w:spacing w:before="120" w:beforeLines="50" w:line="570" w:lineRule="exact"/>
        <w:ind w:firstLine="627" w:firstLineChars="196"/>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第三条  甲方的权利与义务</w:t>
      </w:r>
    </w:p>
    <w:p w14:paraId="7A160A82">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3.1在乙方提交正式评级报告之前，甲方可以要求取得并了解评级报告征求意见稿。</w:t>
      </w:r>
    </w:p>
    <w:p w14:paraId="3E208F54">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3.2甲方享有对乙方市场人员在合同洽谈阶段及评级人员在评级分析阶段的商业贿赂、不尽职履责等情况的投诉权和申诉权。</w:t>
      </w:r>
    </w:p>
    <w:p w14:paraId="7B03EDDF">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3.3甲方同意向乙方提供评级所需的文件资料，包括但不限于财务数据、征信报告等，并保证所提供文件资料的真实性、准确性和完整性。该等文件资料应于甲方收到乙方的评级资料清单后七日内提供。</w:t>
      </w:r>
    </w:p>
    <w:p w14:paraId="54D8E750">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在符合国家政策的前提下，甲方授权乙方通过相关合法渠道查询甲方的征信报告和相关征信记录。</w:t>
      </w:r>
    </w:p>
    <w:p w14:paraId="5C824B34">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对于乙方所交付的主体信用评级报告征求意见稿中所引用的甲方信息，甲方应当在收到乙方要求确认的书面文件后2个工作日内书面确认；逾期未提出异议的，视同甲方已确认；如果甲方提出异议，应向乙方书面告知异议内容；涉及甲方未公开信息的，甲方应书面告知乙方不能披露的内容。</w:t>
      </w:r>
    </w:p>
    <w:p w14:paraId="6ADB2008">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3.5甲方有义务配合乙方进场，配合开展与评级工作有关的调查、访问、座谈及其他必要的活动，并为此提供便利。甲方保证不以任何方式影响乙方评级人员正常开展工作。</w:t>
      </w:r>
    </w:p>
    <w:p w14:paraId="52650676">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3.6在甲方主体信用评级结果有效期内，如甲方发生包括但不限于涉及自身经营、资产规模、资产价值变动、股权结构变更或其他足以影响甲方主体信用状况的重大事件，应及时书面通知乙方，并提供相关资料，包括但不限于季度报告（如有）、年度报告、征信报告及相关信息等，配合乙方进行对主体信用的不定期跟踪评级工作。</w:t>
      </w:r>
    </w:p>
    <w:p w14:paraId="1FFDD015">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若甲方自行披露乙方正式出具的评级报告的，则应当确保披露的内容和信息完整、准确、真实。甲方披露的评级报告与乙方正式出具的不一致的，乙方有权要求甲方在已披露的渠道进行更改，并有权披露已出具的正式版本的评级报告。</w:t>
      </w:r>
    </w:p>
    <w:p w14:paraId="6A32CA4A">
      <w:pPr>
        <w:widowControl/>
        <w:tabs>
          <w:tab w:val="left" w:pos="709"/>
          <w:tab w:val="left" w:pos="1418"/>
          <w:tab w:val="left" w:pos="2126"/>
          <w:tab w:val="left" w:pos="2835"/>
          <w:tab w:val="left" w:pos="3544"/>
          <w:tab w:val="left" w:pos="4253"/>
          <w:tab w:val="left" w:pos="4961"/>
          <w:tab w:val="left" w:pos="5670"/>
          <w:tab w:val="right" w:pos="8363"/>
        </w:tabs>
        <w:adjustRightInd/>
        <w:spacing w:before="120" w:beforeLines="50"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3.8甲方知悉并确认，乙方所出具的主体信用评级报告及主体信用评级结果是乙方对甲方主体信用状况所发表的客观意见；乙方所出具的主体信用评级结果不等同于甲方发行的任何债务融资工具的信用评级结果。</w:t>
      </w:r>
    </w:p>
    <w:p w14:paraId="09B2DEC2">
      <w:pPr>
        <w:widowControl/>
        <w:tabs>
          <w:tab w:val="left" w:pos="709"/>
          <w:tab w:val="left" w:pos="1418"/>
          <w:tab w:val="left" w:pos="2126"/>
          <w:tab w:val="left" w:pos="2835"/>
          <w:tab w:val="left" w:pos="3544"/>
          <w:tab w:val="left" w:pos="4253"/>
          <w:tab w:val="left" w:pos="4961"/>
          <w:tab w:val="left" w:pos="5670"/>
          <w:tab w:val="right" w:pos="8363"/>
        </w:tabs>
        <w:adjustRightInd/>
        <w:spacing w:before="120" w:beforeLines="50" w:line="570" w:lineRule="exact"/>
        <w:ind w:firstLine="640" w:firstLineChars="200"/>
        <w:textAlignment w:val="auto"/>
        <w:rPr>
          <w:rFonts w:hint="default"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rPr>
        <w:t>3.9如果甲方引用乙方所出具的主体信用评级结果和主体信用评级报告发行任何债务融资工具的，应当经过乙方事先同意。</w:t>
      </w:r>
      <w:r>
        <w:rPr>
          <w:rFonts w:hint="eastAsia" w:ascii="仿宋_GB2312" w:hAnsi="仿宋_GB2312" w:eastAsia="仿宋_GB2312" w:cs="仿宋_GB2312"/>
          <w:color w:val="000000"/>
          <w:sz w:val="32"/>
          <w:szCs w:val="32"/>
          <w:highlight w:val="none"/>
          <w:lang w:val="en-US" w:eastAsia="zh-Hans"/>
        </w:rPr>
        <w:t>乙方持有异议的</w:t>
      </w:r>
      <w:r>
        <w:rPr>
          <w:rFonts w:hint="default"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val="en-US" w:eastAsia="zh-Hans"/>
        </w:rPr>
        <w:t>应向甲方提出合理的理由及意见</w:t>
      </w:r>
      <w:r>
        <w:rPr>
          <w:rFonts w:hint="default"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val="en-US" w:eastAsia="zh-Hans"/>
        </w:rPr>
        <w:t>否则视为乙方同意</w:t>
      </w:r>
      <w:r>
        <w:rPr>
          <w:rFonts w:hint="default" w:ascii="仿宋_GB2312" w:hAnsi="仿宋_GB2312" w:eastAsia="仿宋_GB2312" w:cs="仿宋_GB2312"/>
          <w:color w:val="000000"/>
          <w:sz w:val="32"/>
          <w:szCs w:val="32"/>
          <w:highlight w:val="none"/>
          <w:lang w:eastAsia="zh-Hans"/>
        </w:rPr>
        <w:t>。</w:t>
      </w:r>
    </w:p>
    <w:p w14:paraId="1DD933BA">
      <w:pPr>
        <w:widowControl/>
        <w:tabs>
          <w:tab w:val="left" w:pos="709"/>
          <w:tab w:val="left" w:pos="1418"/>
          <w:tab w:val="left" w:pos="2126"/>
          <w:tab w:val="left" w:pos="2835"/>
          <w:tab w:val="left" w:pos="3544"/>
          <w:tab w:val="left" w:pos="4253"/>
          <w:tab w:val="left" w:pos="4961"/>
          <w:tab w:val="left" w:pos="5670"/>
          <w:tab w:val="right" w:pos="8363"/>
        </w:tabs>
        <w:adjustRightInd/>
        <w:spacing w:before="120" w:beforeLines="50"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3.10如经过乙方同意，甲方引用乙方已出具的主体评级结果发行债务融资工具的，则甲方应将该债务融资工具的发行文件提交给乙方，由乙方对发行文件中的评级信息进行审阅确认。</w:t>
      </w:r>
    </w:p>
    <w:p w14:paraId="50C6D052">
      <w:pPr>
        <w:widowControl/>
        <w:tabs>
          <w:tab w:val="left" w:pos="709"/>
          <w:tab w:val="left" w:pos="1418"/>
          <w:tab w:val="left" w:pos="2126"/>
          <w:tab w:val="left" w:pos="2835"/>
          <w:tab w:val="left" w:pos="3544"/>
          <w:tab w:val="left" w:pos="4253"/>
          <w:tab w:val="left" w:pos="4961"/>
          <w:tab w:val="left" w:pos="5670"/>
          <w:tab w:val="right" w:pos="8363"/>
        </w:tabs>
        <w:adjustRightInd/>
        <w:spacing w:before="120" w:beforeLines="50" w:line="57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3.11在甲方主体信用等级有效期内，如遇监管机构、自律性组织等相关有权机构政策调整和变化，甲方有义务配合乙方工作保证本协议项下的主体信用评级工作符合监管要求并顺利进行。</w:t>
      </w:r>
    </w:p>
    <w:p w14:paraId="6828FBDD">
      <w:pPr>
        <w:spacing w:before="120" w:beforeLines="50" w:line="570" w:lineRule="exact"/>
        <w:ind w:firstLine="627" w:firstLineChars="196"/>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第四条  乙方的权利与义务</w:t>
      </w:r>
    </w:p>
    <w:p w14:paraId="6523BC81">
      <w:pPr>
        <w:spacing w:before="120" w:beforeLines="50" w:line="57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4.1乙方在评级过程中应遵循监管机构、自律性组织及乙方内部规定的业务流程、方法开展评级工作、出具信用评级结果及信用评级报告。</w:t>
      </w:r>
    </w:p>
    <w:p w14:paraId="137722BE">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4.2在主体信用评级结果有效期内，如甲方发生足以影响自身主体信用状况的重大事件，</w:t>
      </w:r>
      <w:r>
        <w:rPr>
          <w:rFonts w:hint="eastAsia" w:ascii="仿宋_GB2312" w:hAnsi="仿宋_GB2312" w:eastAsia="仿宋_GB2312" w:cs="仿宋_GB2312"/>
          <w:sz w:val="32"/>
          <w:szCs w:val="32"/>
        </w:rPr>
        <w:t>在乙方已知悉的前提下，乙方应及时对该事件进行分析，确认或调整甲方信用等级，并通知甲方；</w:t>
      </w:r>
      <w:r>
        <w:rPr>
          <w:rFonts w:hint="eastAsia" w:ascii="仿宋_GB2312" w:hAnsi="仿宋_GB2312" w:eastAsia="仿宋_GB2312" w:cs="仿宋_GB2312"/>
          <w:color w:val="000000"/>
          <w:sz w:val="32"/>
          <w:szCs w:val="32"/>
        </w:rPr>
        <w:t>乙方对甲方提供的尚未公开的涉及甲方信用状况的重大事件的相关资料有保密义务。</w:t>
      </w:r>
    </w:p>
    <w:p w14:paraId="38BC8949">
      <w:pPr>
        <w:spacing w:before="120" w:beforeLines="50" w:line="57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4.3在主体信用评级结果有效期内，如乙方发现甲方出现足以影响评级结果的实际情况变化，在符合法律和监管机构要求的前提下，乙方有权对甲方主体评级采取级别调整、暂停评级、终止评级等评级行动。</w:t>
      </w:r>
    </w:p>
    <w:p w14:paraId="39355F2B">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若甲方未经乙方事先同意，引用乙方出具的尚在有效期内的主体信用评级结果或评级报告发行债务融资工具，乙方无需对该债务融资工具进行跟踪评级；同时，如甲方发行文件所载明的评级情况与实际不符，则乙方有权通过乙方网站或监管机构指定的网站将该债项未经评级或者与实际不符的情况进行披露，且乙方对于该债务融资工具所发生的任何风险，不承担任何法律责任。</w:t>
      </w:r>
    </w:p>
    <w:p w14:paraId="114751AE">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在主体信用评级结果有效期内，如甲方发行债务融资工具，且已委托乙方进行债项评级的，则在该债务融资工具存续期内，甲方应持续委托乙方进行主体信用评级。在本协议项下的甲方主体信用评级结果有效期届满之后，若甲方未委托乙方进行新的主体信用评级的，乙方有权书面通知甲方并通过乙方的网站对甲方主体信用评级结果有效期届满的事宜进行公告。如因此对甲方尚在存续期内的债务融资工具产生影响的，乙方不承担法律责任。</w:t>
      </w:r>
    </w:p>
    <w:p w14:paraId="5BDD67BC">
      <w:pPr>
        <w:spacing w:before="120" w:beforeLines="50" w:line="57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4.6如甲方在乙方承做的其他信用评级项目中作为相关方，且该项目评级工作需要使用甲方信息、数据、资料的，甲方授权乙方在提供评级服务过程中使用已经提供给乙方的信息、数据、资料。</w:t>
      </w:r>
    </w:p>
    <w:p w14:paraId="6C4C7811">
      <w:pPr>
        <w:spacing w:before="120" w:beforeLines="50" w:line="570" w:lineRule="exact"/>
        <w:ind w:firstLine="54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第五条  信用评级复评</w:t>
      </w:r>
    </w:p>
    <w:p w14:paraId="7AC868A1">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甲方自收到《评级结果告知函》之日起2个工作日内，若对《信用评级报告》所使用的信息或评级结果有异议的，可以书面形式提出一次复评申请，并在收到《评级结果告知函》之日起5个工作日内提交乙方认可的复评补充资料。甲方未按本协议规定提交书面复评申请和/或补充资料的，将视为甲方对评级结果无异议。</w:t>
      </w:r>
    </w:p>
    <w:p w14:paraId="255F0AD6">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5.2乙方在收到甲方复评申请及相应材料后应立即进行复评工作，复评期限原则上不应超过15天。</w:t>
      </w:r>
    </w:p>
    <w:p w14:paraId="27C7C434">
      <w:pPr>
        <w:widowControl/>
        <w:snapToGrid w:val="0"/>
        <w:spacing w:before="120" w:beforeLines="50" w:after="120" w:afterLines="50" w:line="57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5.3复评结束后,乙方通知甲方复评结果。</w:t>
      </w:r>
      <w:r>
        <w:rPr>
          <w:rFonts w:hint="eastAsia" w:ascii="仿宋_GB2312" w:hAnsi="仿宋_GB2312" w:eastAsia="仿宋_GB2312" w:cs="仿宋_GB2312"/>
          <w:sz w:val="32"/>
          <w:szCs w:val="32"/>
        </w:rPr>
        <w:t>复评结果为最终结果，结果一旦产生，乙方不再进行复评。</w:t>
      </w:r>
    </w:p>
    <w:p w14:paraId="74896FDC">
      <w:pPr>
        <w:spacing w:before="120" w:beforeLines="50" w:line="570" w:lineRule="exact"/>
        <w:ind w:firstLine="54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第六条  信息披露及保密</w:t>
      </w:r>
    </w:p>
    <w:p w14:paraId="04878532">
      <w:pPr>
        <w:pStyle w:val="7"/>
        <w:spacing w:before="120" w:beforeLines="50" w:line="57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乙方正式出具的信用评级报告及主体信用等级有效期内的相关公告或评级意见在向甲方提交并听取甲方相应意见之后，由乙方最终确定评级报告等文件的内容。如监管机构有信息披露要求的，则乙方有权通过乙方网站和监管机构规定的其他网站及媒体向社会公布。</w:t>
      </w:r>
    </w:p>
    <w:p w14:paraId="57C5DE7C">
      <w:pPr>
        <w:pStyle w:val="7"/>
        <w:spacing w:before="120" w:beforeLines="50" w:line="57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6.2若甲方自行公告评级报告或评级意见，须至少提前2个工作日通知乙方，并经乙方确认后方可公告。</w:t>
      </w:r>
    </w:p>
    <w:p w14:paraId="5BCB63AD">
      <w:pPr>
        <w:pStyle w:val="7"/>
        <w:spacing w:before="120" w:beforeLines="50"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6.3乙方已按照本协议约定出具评级报告，甲方更换评级机构的，乙方应按照监管要求的方式披露评级报告。</w:t>
      </w:r>
    </w:p>
    <w:p w14:paraId="39FFC010">
      <w:pPr>
        <w:pStyle w:val="7"/>
        <w:spacing w:before="120" w:beforeLines="50"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6.4保密信息是指甲方就本次主体信用评级以书面、电子通讯或互联网等形式提供给乙方的尚未公开的数据或信息，但不包括如下信息：</w:t>
      </w:r>
    </w:p>
    <w:p w14:paraId="124745FB">
      <w:pPr>
        <w:pStyle w:val="7"/>
        <w:numPr>
          <w:ilvl w:val="1"/>
          <w:numId w:val="4"/>
        </w:numPr>
        <w:spacing w:before="120" w:beforeLines="50" w:line="57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已处于公有领域，公众一般可以获得的信息；</w:t>
      </w:r>
    </w:p>
    <w:p w14:paraId="574DA76B">
      <w:pPr>
        <w:pStyle w:val="7"/>
        <w:numPr>
          <w:ilvl w:val="1"/>
          <w:numId w:val="4"/>
        </w:numPr>
        <w:spacing w:before="120" w:beforeLines="50" w:line="57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乙方在保密信息披露时通过合法途径已经获悉的信息，但乙方合理应知悉第三方违反保密义务而造成乙方知晓该保密信息的除外；</w:t>
      </w:r>
    </w:p>
    <w:p w14:paraId="5DA66D1F">
      <w:pPr>
        <w:pStyle w:val="7"/>
        <w:numPr>
          <w:ilvl w:val="1"/>
          <w:numId w:val="4"/>
        </w:numPr>
        <w:spacing w:before="120" w:beforeLines="50" w:line="57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乙方在没有依赖保密信息之情况下所独立开发的信息。</w:t>
      </w:r>
    </w:p>
    <w:p w14:paraId="37A1354F">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本协议一方可以按照法律规定或监管机构（行政监管机构和自律监管机构）的要求对本条约定的保密信息进行相应的披露，但是披露范围应当仅限于法律规定或监管机构（行政监管机构和自律监管机构）要求必须披露的信息。</w:t>
      </w:r>
    </w:p>
    <w:p w14:paraId="209924C0">
      <w:pPr>
        <w:numPr>
          <w:ilvl w:val="1"/>
          <w:numId w:val="5"/>
        </w:numPr>
        <w:spacing w:before="120" w:beforeLines="50"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如果法律规定或监管机构（行政监管机构和自律监管机构）要求必须公开披露的，披露前在法律许可的条件下应当通知另一方。</w:t>
      </w:r>
    </w:p>
    <w:p w14:paraId="4D6B36A8">
      <w:pPr>
        <w:numPr>
          <w:ilvl w:val="1"/>
          <w:numId w:val="5"/>
        </w:numPr>
        <w:spacing w:before="120" w:beforeLines="50"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如果一方只是按监管机构（行政监管机构和自律监管机构）要求向其报送评级报告、评级公告等信息，无须告知另一方。</w:t>
      </w:r>
    </w:p>
    <w:p w14:paraId="2A9BB80F">
      <w:pPr>
        <w:spacing w:before="120" w:beforeLines="50" w:line="570" w:lineRule="exact"/>
        <w:ind w:firstLine="54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第七条  责任限制</w:t>
      </w:r>
    </w:p>
    <w:p w14:paraId="1DEB22F7">
      <w:pPr>
        <w:spacing w:before="120" w:beforeLines="50" w:after="120" w:after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7.1乙方对由甲方或其他相关第三方提供给乙方的信息或资料的真实性、准确性、完整性和及时性不作任何保证或给予任何其他担保(无论是对甲方或任何第三方)。</w:t>
      </w:r>
    </w:p>
    <w:p w14:paraId="42BBA16F">
      <w:pPr>
        <w:pStyle w:val="7"/>
        <w:spacing w:before="120" w:beforeLines="50" w:after="120" w:afterLines="50" w:line="57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在任何情况下，乙方均不应因依法合规地履行本协议、出具评级结果及信用评级报告及发生本协议第9.2条情形而对甲方或其他任何第三方承担任何赔偿责任。由于甲方向乙方提供的信息或资料存在瑕疵（如不真实、不准确、不完整或不及时）而导致乙方的评级结果或信用评级报告不准确或发生任何其它问题，乙方对此不承担任何责任(无论是对甲方或任何第三方)。但是本协议第7.2条的上述规定不适用于由于乙方或其雇员的任何欺诈、不诚实或有意的不法行为所导致的任何索赔。</w:t>
      </w:r>
    </w:p>
    <w:p w14:paraId="0328A50E">
      <w:pPr>
        <w:spacing w:before="120" w:beforeLines="50" w:line="570" w:lineRule="exact"/>
        <w:ind w:firstLine="627" w:firstLineChars="196"/>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第八条  违约责任</w:t>
      </w:r>
    </w:p>
    <w:p w14:paraId="537302AD">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8.1如果乙方未能按本协议约定及时向甲方提交主体信用评级报告，乙方应向甲方支付主体信用评级费用总额的5%作为违约金。</w:t>
      </w:r>
    </w:p>
    <w:p w14:paraId="02057C87">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8.2如</w:t>
      </w:r>
      <w:r>
        <w:rPr>
          <w:rFonts w:hint="eastAsia" w:ascii="仿宋_GB2312" w:hAnsi="仿宋_GB2312" w:eastAsia="仿宋_GB2312" w:cs="仿宋_GB2312"/>
          <w:sz w:val="32"/>
          <w:szCs w:val="32"/>
        </w:rPr>
        <w:t>非因乙方过错</w:t>
      </w:r>
      <w:r>
        <w:rPr>
          <w:rFonts w:hint="eastAsia" w:ascii="仿宋_GB2312" w:hAnsi="仿宋_GB2312" w:eastAsia="仿宋_GB2312" w:cs="仿宋_GB2312"/>
          <w:color w:val="000000"/>
          <w:sz w:val="32"/>
          <w:szCs w:val="32"/>
        </w:rPr>
        <w:t>致使乙方未能按本协议约定完成评级工作（含不定期跟踪评级），乙方不承担违约责任。</w:t>
      </w:r>
    </w:p>
    <w:p w14:paraId="6A1A3FBB">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8.3如甲方未能按本协议约定及时向乙方支付评级费用，甲方应向乙方支付该项未付评级费用总额的5%作为违约金。</w:t>
      </w:r>
    </w:p>
    <w:p w14:paraId="21BA5D0A">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8.4</w:t>
      </w:r>
      <w:r>
        <w:rPr>
          <w:rFonts w:hint="eastAsia" w:ascii="仿宋_GB2312" w:hAnsi="仿宋_GB2312" w:eastAsia="仿宋_GB2312" w:cs="仿宋_GB2312"/>
          <w:sz w:val="32"/>
          <w:szCs w:val="32"/>
        </w:rPr>
        <w:t>若甲方违反本协议第3.9条的约定，未经乙方事先书面同意，引用乙方出具的主体信用评级结果或评级报告发行债务融资工具，乙方有权终止甲方的主体信用评级结果</w:t>
      </w:r>
      <w:r>
        <w:rPr>
          <w:rFonts w:hint="eastAsia" w:ascii="仿宋_GB2312" w:hAnsi="仿宋_GB2312" w:eastAsia="仿宋_GB2312" w:cs="仿宋_GB2312"/>
          <w:sz w:val="32"/>
          <w:szCs w:val="32"/>
          <w:lang w:eastAsia="zh-CN"/>
        </w:rPr>
        <w:t>。</w:t>
      </w:r>
    </w:p>
    <w:p w14:paraId="70A1C551">
      <w:pPr>
        <w:spacing w:before="120" w:before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除本协议有明确约定外，任何一方违反本协议项下陈述、保证、承诺及其他义务，均须依据有关法律及本协议承担违约责任，并赔偿另一方的全部损失及因此而发生的一切费用（包括律师费、差旅费、诉讼费等）。</w:t>
      </w:r>
    </w:p>
    <w:p w14:paraId="2D6DED6B">
      <w:pPr>
        <w:spacing w:before="120" w:beforeLines="50" w:line="570" w:lineRule="exact"/>
        <w:ind w:firstLine="627" w:firstLineChars="196"/>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第九条  变更或终止</w:t>
      </w:r>
    </w:p>
    <w:p w14:paraId="047AFE82">
      <w:pPr>
        <w:spacing w:before="120" w:beforeLines="50" w:after="120" w:after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9.1本协议于主体信用评级结果有效期到期时自动终止。在主体信用评级结果有效期到期之前，双方也可协商一致终止本协议。</w:t>
      </w:r>
    </w:p>
    <w:p w14:paraId="6BCF3A4B">
      <w:pPr>
        <w:spacing w:before="120" w:beforeLines="50" w:after="120" w:afterLines="50"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9.2出现以下情形之一，乙方可终止甲方的信用评级结果和报告，并公告原因：</w:t>
      </w:r>
    </w:p>
    <w:p w14:paraId="59BC5547">
      <w:pPr>
        <w:numPr>
          <w:ilvl w:val="1"/>
          <w:numId w:val="6"/>
        </w:numPr>
        <w:spacing w:before="120" w:beforeLines="50" w:after="120" w:afterLines="50"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双方协商一致不再评级的；</w:t>
      </w:r>
    </w:p>
    <w:p w14:paraId="01B36688">
      <w:pPr>
        <w:numPr>
          <w:ilvl w:val="1"/>
          <w:numId w:val="6"/>
        </w:numPr>
        <w:spacing w:before="120" w:beforeLines="50" w:after="120" w:afterLines="50"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甲方不按约定支付评级费用的；</w:t>
      </w:r>
    </w:p>
    <w:p w14:paraId="6B417FF4">
      <w:pPr>
        <w:numPr>
          <w:ilvl w:val="1"/>
          <w:numId w:val="6"/>
        </w:numPr>
        <w:spacing w:before="120" w:beforeLines="50" w:after="120" w:afterLines="50" w:line="570" w:lineRule="exact"/>
        <w:ind w:left="1701" w:hanging="8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甲方未按照本协议约定使用评级报告的；</w:t>
      </w:r>
    </w:p>
    <w:p w14:paraId="1FA5945C">
      <w:pPr>
        <w:numPr>
          <w:ilvl w:val="1"/>
          <w:numId w:val="6"/>
        </w:numPr>
        <w:spacing w:before="120" w:beforeLines="50" w:after="120" w:afterLines="50" w:line="570" w:lineRule="exact"/>
        <w:ind w:left="1701" w:hanging="8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甲方拒不提供信用评级所需关键材料或提供的材料存在虚假记载、误导性陈述或重大遗漏的；</w:t>
      </w:r>
    </w:p>
    <w:p w14:paraId="3FA1CA03">
      <w:pPr>
        <w:numPr>
          <w:ilvl w:val="1"/>
          <w:numId w:val="6"/>
        </w:numPr>
        <w:spacing w:before="120" w:beforeLines="50" w:after="120" w:afterLines="50"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甲方解散或被依法宣告破产的；</w:t>
      </w:r>
    </w:p>
    <w:p w14:paraId="0A62E735">
      <w:pPr>
        <w:numPr>
          <w:ilvl w:val="1"/>
          <w:numId w:val="6"/>
        </w:numPr>
        <w:spacing w:before="120" w:beforeLines="50" w:after="120" w:afterLines="50"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评级工作不能正常开展的其他情形。</w:t>
      </w:r>
    </w:p>
    <w:p w14:paraId="0248AF21">
      <w:pPr>
        <w:spacing w:before="120" w:beforeLines="50" w:after="120" w:after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9.3本协议终止后，本协议第六条和第七条继续有效，直至本协议终止之日起两年自动失效。</w:t>
      </w:r>
    </w:p>
    <w:p w14:paraId="351043B6">
      <w:pPr>
        <w:spacing w:before="120" w:beforeLines="50" w:line="57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r>
        <w:rPr>
          <w:rFonts w:hint="eastAsia" w:ascii="黑体" w:hAnsi="黑体" w:eastAsia="黑体" w:cs="黑体"/>
          <w:b w:val="0"/>
          <w:bCs/>
          <w:color w:val="000000"/>
          <w:sz w:val="32"/>
          <w:szCs w:val="32"/>
        </w:rPr>
        <w:t xml:space="preserve">  第十条  争议的解决</w:t>
      </w:r>
    </w:p>
    <w:p w14:paraId="20210528">
      <w:pPr>
        <w:pStyle w:val="27"/>
        <w:numPr>
          <w:ilvl w:val="1"/>
          <w:numId w:val="0"/>
        </w:numPr>
        <w:spacing w:before="120" w:beforeLines="50" w:line="570" w:lineRule="exact"/>
        <w:ind w:left="2" w:leftChars="1" w:firstLine="672"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10.1双方之间因本协议而发生的或与本协议有关的任何争议，包括与本协议的违约、终止或有效性有关的争议，双方应当首先努力通过友好协商解决。</w:t>
      </w:r>
    </w:p>
    <w:p w14:paraId="3466B1D5">
      <w:pPr>
        <w:pStyle w:val="27"/>
        <w:numPr>
          <w:ilvl w:val="1"/>
          <w:numId w:val="0"/>
        </w:numPr>
        <w:spacing w:before="120" w:beforeLines="50" w:line="570" w:lineRule="exact"/>
        <w:ind w:left="2" w:leftChars="1" w:firstLine="672" w:firstLineChars="200"/>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10.2如果在一方向另一方递送了要求开始协商的书面通知后六十（60）天内，争议仍未通过友好协商解决，则任何一方可要求按照本条的约定</w:t>
      </w:r>
      <w:r>
        <w:rPr>
          <w:rFonts w:hint="eastAsia" w:ascii="仿宋_GB2312" w:hAnsi="仿宋_GB2312" w:eastAsia="仿宋_GB2312" w:cs="仿宋_GB2312"/>
          <w:color w:val="000000"/>
          <w:sz w:val="32"/>
          <w:szCs w:val="32"/>
          <w:lang w:val="en-US" w:eastAsia="zh-Hans"/>
        </w:rPr>
        <w:t>向甲方所在地人民法院提起诉讼</w:t>
      </w:r>
      <w:r>
        <w:rPr>
          <w:rFonts w:hint="eastAsia" w:ascii="仿宋_GB2312" w:hAnsi="仿宋_GB2312" w:eastAsia="仿宋_GB2312" w:cs="仿宋_GB2312"/>
          <w:color w:val="000000"/>
          <w:sz w:val="32"/>
          <w:szCs w:val="32"/>
          <w:lang w:eastAsia="zh-CN"/>
        </w:rPr>
        <w:t>。</w:t>
      </w:r>
    </w:p>
    <w:p w14:paraId="34A86BD9">
      <w:pPr>
        <w:spacing w:before="120" w:beforeLines="50" w:line="570" w:lineRule="exact"/>
        <w:ind w:firstLine="627" w:firstLineChars="196"/>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第十一条  不可抗力</w:t>
      </w:r>
    </w:p>
    <w:p w14:paraId="11EDFB84">
      <w:pPr>
        <w:pStyle w:val="28"/>
        <w:numPr>
          <w:ilvl w:val="3"/>
          <w:numId w:val="0"/>
        </w:numPr>
        <w:spacing w:before="120" w:beforeLines="50" w:after="0" w:line="570" w:lineRule="exact"/>
        <w:ind w:firstLine="539"/>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11.1“不可抗力”是指本协议双方不能控制、不可预见或即使预见亦无法避免的事件。该事件妨碍、影响或延误任何一方根据本协议履行其全部或部分义务。该事件包括但不限于地震、台风、洪水、火灾、瘟疫、其他天灾、战争、政变、骚乱、罢工或任何其他类似事件，以及新法规、国家政策颁布、监管规定、自律组织规章或对原法规、国家政策、监管规定、自律组织规章的修改等因素。</w:t>
      </w:r>
    </w:p>
    <w:p w14:paraId="4883AEF8">
      <w:pPr>
        <w:pStyle w:val="28"/>
        <w:numPr>
          <w:ilvl w:val="3"/>
          <w:numId w:val="0"/>
        </w:numPr>
        <w:spacing w:before="120" w:beforeLines="50" w:after="0" w:line="570" w:lineRule="exact"/>
        <w:ind w:firstLine="539"/>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11.2如发生上述不可抗力事件，则双方对无法履行或迟延履行其在本协议项下的义务不承担任何责任，但任何一方迟延履行后发生不可抗力的，该方的责任不能免除。同时，遭受该事件的一方应立即用可能的快捷方式通知对方，并在十五日内提供证明文件说明有关事件的细节和不能履行或部分不能履行或需迟延履行本协议的原因。双方应在协商一致的基础上就是否延期履行本协议或终止本协议达成书面协议。</w:t>
      </w:r>
    </w:p>
    <w:p w14:paraId="54ABDC7D">
      <w:pPr>
        <w:pStyle w:val="28"/>
        <w:numPr>
          <w:ilvl w:val="3"/>
          <w:numId w:val="0"/>
        </w:numPr>
        <w:spacing w:before="120" w:beforeLines="50" w:after="0" w:line="570" w:lineRule="exact"/>
        <w:ind w:firstLine="539"/>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第十二条  反商业贿赂条款</w:t>
      </w:r>
    </w:p>
    <w:p w14:paraId="5A377E88">
      <w:pPr>
        <w:pStyle w:val="28"/>
        <w:numPr>
          <w:ilvl w:val="3"/>
          <w:numId w:val="0"/>
        </w:numPr>
        <w:spacing w:before="120" w:beforeLines="50" w:after="120" w:afterLines="50" w:line="570" w:lineRule="exact"/>
        <w:ind w:firstLine="539"/>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12.1甲乙双方都清楚并愿意严格遵守中华人民共和国反商业贿赂的法律规定，双方都清楚任何形式的贿赂和贪渎行为都将触犯法律，并将受到法律的严惩。</w:t>
      </w:r>
    </w:p>
    <w:p w14:paraId="0C97FDCE">
      <w:pPr>
        <w:pStyle w:val="28"/>
        <w:numPr>
          <w:ilvl w:val="3"/>
          <w:numId w:val="0"/>
        </w:numPr>
        <w:spacing w:before="120" w:beforeLines="50" w:after="120" w:afterLines="50" w:line="570" w:lineRule="exact"/>
        <w:ind w:firstLine="539"/>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12.2甲方或乙方不得向对方或对方经办人或其他相关人员索要、收受、提供、给予合同约定外的任何利益，包括但不限于明扣、暗扣、现金、购物卡、实物、有价证券、旅游或其他非物质利益等。</w:t>
      </w:r>
    </w:p>
    <w:p w14:paraId="45A59011">
      <w:pPr>
        <w:pStyle w:val="28"/>
        <w:numPr>
          <w:ilvl w:val="3"/>
          <w:numId w:val="0"/>
        </w:numPr>
        <w:spacing w:before="120" w:beforeLines="50" w:after="120" w:afterLines="50" w:line="570" w:lineRule="exact"/>
        <w:ind w:firstLine="539"/>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12.3甲方反对乙方或乙方经办人员为了本协议之目的与本协议以外的任何第三方发生第12.2条所列示的任何一种行为。</w:t>
      </w:r>
    </w:p>
    <w:p w14:paraId="41ABE32D">
      <w:pPr>
        <w:pStyle w:val="28"/>
        <w:numPr>
          <w:ilvl w:val="3"/>
          <w:numId w:val="0"/>
        </w:numPr>
        <w:spacing w:before="120" w:beforeLines="50" w:after="120" w:afterLines="50" w:line="570" w:lineRule="exact"/>
        <w:ind w:firstLine="539"/>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12.4如因一方或一方经办人违反本协议第12.2条、第12.3条之规定，给对方造成损失的，应承担赔偿责任。</w:t>
      </w:r>
    </w:p>
    <w:p w14:paraId="24ECAC56">
      <w:pPr>
        <w:spacing w:before="120" w:beforeLines="50" w:line="57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r>
        <w:rPr>
          <w:rFonts w:hint="eastAsia" w:ascii="黑体" w:hAnsi="黑体" w:eastAsia="黑体" w:cs="黑体"/>
          <w:b w:val="0"/>
          <w:bCs/>
          <w:color w:val="000000"/>
          <w:sz w:val="32"/>
          <w:szCs w:val="32"/>
        </w:rPr>
        <w:t>第十三条  其它规定</w:t>
      </w:r>
    </w:p>
    <w:p w14:paraId="5F397A1A">
      <w:pPr>
        <w:pStyle w:val="28"/>
        <w:numPr>
          <w:ilvl w:val="3"/>
          <w:numId w:val="0"/>
        </w:numPr>
        <w:tabs>
          <w:tab w:val="clear" w:pos="360"/>
        </w:tabs>
        <w:spacing w:before="120" w:beforeLines="50" w:after="0" w:line="570" w:lineRule="exact"/>
        <w:ind w:firstLine="561" w:firstLineChars="167"/>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13.1本协议应适用中华人民共和国法律。</w:t>
      </w:r>
    </w:p>
    <w:p w14:paraId="6A7C2C50">
      <w:pPr>
        <w:pStyle w:val="28"/>
        <w:numPr>
          <w:ilvl w:val="3"/>
          <w:numId w:val="0"/>
        </w:numPr>
        <w:spacing w:before="120" w:beforeLines="50" w:after="0" w:line="570" w:lineRule="exact"/>
        <w:ind w:firstLine="440"/>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13.2本协议未尽事宜或对本协议的任何变更，双方协商另行签订补充协议。</w:t>
      </w:r>
    </w:p>
    <w:p w14:paraId="7E4271CF">
      <w:pPr>
        <w:pStyle w:val="28"/>
        <w:numPr>
          <w:ilvl w:val="3"/>
          <w:numId w:val="0"/>
        </w:numPr>
        <w:spacing w:before="120" w:beforeLines="50" w:after="0" w:line="570" w:lineRule="exact"/>
        <w:ind w:firstLine="440"/>
        <w:rPr>
          <w:rFonts w:hint="eastAsia" w:ascii="仿宋_GB2312" w:hAnsi="仿宋_GB2312" w:eastAsia="仿宋_GB2312" w:cs="仿宋_GB2312"/>
          <w:color w:val="000000"/>
          <w:w w:val="105"/>
          <w:kern w:val="20"/>
          <w:sz w:val="32"/>
          <w:szCs w:val="32"/>
          <w:lang w:eastAsia="zh-CN"/>
        </w:rPr>
      </w:pPr>
      <w:r>
        <w:rPr>
          <w:rFonts w:hint="eastAsia" w:ascii="仿宋_GB2312" w:hAnsi="仿宋_GB2312" w:eastAsia="仿宋_GB2312" w:cs="仿宋_GB2312"/>
          <w:color w:val="000000"/>
          <w:w w:val="105"/>
          <w:kern w:val="20"/>
          <w:sz w:val="32"/>
          <w:szCs w:val="32"/>
          <w:lang w:eastAsia="zh-CN"/>
        </w:rPr>
        <w:t>13.3本协议经双方法定代表人或者授权代表签字（或加盖人名章）并加盖公章</w:t>
      </w:r>
      <w:r>
        <w:rPr>
          <w:rFonts w:hint="eastAsia" w:ascii="仿宋_GB2312" w:hAnsi="仿宋_GB2312" w:eastAsia="仿宋_GB2312" w:cs="仿宋_GB2312"/>
          <w:w w:val="105"/>
          <w:kern w:val="20"/>
          <w:sz w:val="32"/>
          <w:szCs w:val="32"/>
          <w:lang w:eastAsia="zh-CN"/>
        </w:rPr>
        <w:t>或合同专用章</w:t>
      </w:r>
      <w:r>
        <w:rPr>
          <w:rFonts w:hint="eastAsia" w:ascii="仿宋_GB2312" w:hAnsi="仿宋_GB2312" w:eastAsia="仿宋_GB2312" w:cs="仿宋_GB2312"/>
          <w:color w:val="000000"/>
          <w:w w:val="105"/>
          <w:kern w:val="20"/>
          <w:sz w:val="32"/>
          <w:szCs w:val="32"/>
          <w:lang w:eastAsia="zh-CN"/>
        </w:rPr>
        <w:t>后生效。本协议一式肆份，双方各执贰份，具有同等法律效力。</w:t>
      </w:r>
      <w:r>
        <w:rPr>
          <w:rFonts w:hint="eastAsia" w:ascii="仿宋_GB2312" w:hAnsi="仿宋_GB2312" w:eastAsia="仿宋_GB2312" w:cs="仿宋_GB2312"/>
          <w:color w:val="000000"/>
          <w:sz w:val="32"/>
          <w:szCs w:val="32"/>
          <w:lang w:eastAsia="zh-CN"/>
        </w:rPr>
        <w:t>（以下无正文）</w:t>
      </w:r>
    </w:p>
    <w:p w14:paraId="1F1AFA71">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（本页为【 】与【】主体信用评级项目《信用评级委托协议书》签字页，无正文）</w:t>
      </w:r>
    </w:p>
    <w:p w14:paraId="03259A49">
      <w:pPr>
        <w:spacing w:before="120" w:beforeLines="50" w:line="570" w:lineRule="exact"/>
        <w:rPr>
          <w:rFonts w:hint="eastAsia" w:ascii="仿宋_GB2312" w:hAnsi="仿宋_GB2312" w:eastAsia="仿宋_GB2312" w:cs="仿宋_GB2312"/>
          <w:color w:val="000000"/>
          <w:sz w:val="32"/>
          <w:szCs w:val="32"/>
        </w:rPr>
      </w:pPr>
    </w:p>
    <w:p w14:paraId="27BEC602">
      <w:pPr>
        <w:spacing w:before="120" w:beforeLines="50" w:line="570" w:lineRule="exact"/>
        <w:rPr>
          <w:rFonts w:hint="eastAsia" w:ascii="仿宋_GB2312" w:hAnsi="仿宋_GB2312" w:eastAsia="仿宋_GB2312" w:cs="仿宋_GB2312"/>
          <w:color w:val="000000"/>
          <w:sz w:val="32"/>
          <w:szCs w:val="32"/>
        </w:rPr>
      </w:pPr>
    </w:p>
    <w:p w14:paraId="63A87FF9">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甲方（盖章）：                            </w:t>
      </w:r>
    </w:p>
    <w:p w14:paraId="4CDAAD31">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法定代表人（授权代表）：                  </w:t>
      </w:r>
    </w:p>
    <w:p w14:paraId="19AD77F2">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年   月  日                                </w:t>
      </w:r>
    </w:p>
    <w:p w14:paraId="2E776368">
      <w:pPr>
        <w:spacing w:before="120" w:beforeLines="50" w:line="570" w:lineRule="exact"/>
        <w:rPr>
          <w:rFonts w:hint="eastAsia" w:ascii="仿宋_GB2312" w:hAnsi="仿宋_GB2312" w:eastAsia="仿宋_GB2312" w:cs="仿宋_GB2312"/>
          <w:color w:val="000000"/>
          <w:sz w:val="32"/>
          <w:szCs w:val="32"/>
        </w:rPr>
      </w:pPr>
    </w:p>
    <w:p w14:paraId="4D131FF6">
      <w:pPr>
        <w:spacing w:before="120" w:beforeLines="50" w:line="570" w:lineRule="exact"/>
        <w:rPr>
          <w:rFonts w:hint="eastAsia" w:ascii="仿宋_GB2312" w:hAnsi="仿宋_GB2312" w:eastAsia="仿宋_GB2312" w:cs="仿宋_GB2312"/>
          <w:color w:val="000000"/>
          <w:sz w:val="32"/>
          <w:szCs w:val="32"/>
        </w:rPr>
      </w:pPr>
    </w:p>
    <w:p w14:paraId="246ABEF6">
      <w:pPr>
        <w:spacing w:before="120" w:beforeLines="50" w:line="570" w:lineRule="exact"/>
        <w:rPr>
          <w:rFonts w:hint="eastAsia" w:ascii="仿宋_GB2312" w:hAnsi="仿宋_GB2312" w:eastAsia="仿宋_GB2312" w:cs="仿宋_GB2312"/>
          <w:color w:val="000000"/>
          <w:sz w:val="32"/>
          <w:szCs w:val="32"/>
        </w:rPr>
      </w:pPr>
    </w:p>
    <w:p w14:paraId="19C35811">
      <w:pPr>
        <w:spacing w:before="120" w:beforeLines="50" w:line="570" w:lineRule="exact"/>
        <w:rPr>
          <w:rFonts w:hint="eastAsia" w:ascii="仿宋_GB2312" w:hAnsi="仿宋_GB2312" w:eastAsia="仿宋_GB2312" w:cs="仿宋_GB2312"/>
          <w:color w:val="000000"/>
          <w:sz w:val="32"/>
          <w:szCs w:val="32"/>
        </w:rPr>
      </w:pPr>
    </w:p>
    <w:p w14:paraId="0D756747">
      <w:pPr>
        <w:spacing w:before="120" w:beforeLines="50" w:line="570" w:lineRule="exact"/>
        <w:rPr>
          <w:rFonts w:hint="eastAsia" w:ascii="仿宋_GB2312" w:hAnsi="仿宋_GB2312" w:eastAsia="仿宋_GB2312" w:cs="仿宋_GB2312"/>
          <w:color w:val="000000"/>
          <w:sz w:val="32"/>
          <w:szCs w:val="32"/>
        </w:rPr>
      </w:pPr>
    </w:p>
    <w:p w14:paraId="50E0735D">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乙方（盖章）：                             </w:t>
      </w:r>
    </w:p>
    <w:p w14:paraId="3FA76E50">
      <w:pPr>
        <w:spacing w:before="120" w:beforeLines="50" w:line="57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法定代表人（授权代表）：                </w:t>
      </w:r>
    </w:p>
    <w:p w14:paraId="3F490C34">
      <w:pPr>
        <w:spacing w:before="120" w:beforeLines="50"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14:paraId="089A524A">
      <w:pPr>
        <w:numPr>
          <w:ilvl w:val="0"/>
          <w:numId w:val="0"/>
        </w:numPr>
        <w:rPr>
          <w:rFonts w:hint="default" w:eastAsia="仿宋_GB2312" w:cs="Times New Roman"/>
          <w:b/>
          <w:sz w:val="28"/>
          <w:szCs w:val="28"/>
          <w:lang w:val="en-US" w:eastAsia="zh-CN"/>
        </w:rPr>
      </w:pPr>
    </w:p>
    <w:sectPr>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E9A7A-6FAF-4C18-8F00-7BF4AEF382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2E2C670-8607-4425-BCF8-4BC409BFFE8C}"/>
  </w:font>
  <w:font w:name="方正仿宋简体">
    <w:altName w:val="微软雅黑"/>
    <w:panose1 w:val="02000000000000000000"/>
    <w:charset w:val="86"/>
    <w:family w:val="auto"/>
    <w:pitch w:val="default"/>
    <w:sig w:usb0="00000000" w:usb1="00000000" w:usb2="00000012" w:usb3="00000000" w:csb0="00040001" w:csb1="00000000"/>
    <w:embedRegular r:id="rId3" w:fontKey="{5905A821-1584-424C-BC1E-7D1272776FBF}"/>
  </w:font>
  <w:font w:name="微软雅黑">
    <w:panose1 w:val="020B0503020204020204"/>
    <w:charset w:val="86"/>
    <w:family w:val="auto"/>
    <w:pitch w:val="default"/>
    <w:sig w:usb0="80000287" w:usb1="2ACF3C50" w:usb2="00000016" w:usb3="00000000" w:csb0="0004001F" w:csb1="00000000"/>
    <w:embedRegular r:id="rId4" w:fontKey="{847A2194-C821-4E21-8B97-058FFC2BB032}"/>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5" w:fontKey="{C024E361-AAFD-4540-9168-BA53E2F7F48E}"/>
  </w:font>
  <w:font w:name="楷体_GB2312">
    <w:panose1 w:val="02010609030101010101"/>
    <w:charset w:val="86"/>
    <w:family w:val="modern"/>
    <w:pitch w:val="default"/>
    <w:sig w:usb0="00000001" w:usb1="080E0000" w:usb2="00000000" w:usb3="00000000" w:csb0="00040000" w:csb1="00000000"/>
    <w:embedRegular r:id="rId6" w:fontKey="{82D15F52-2270-453C-8DF8-94E209373E56}"/>
  </w:font>
  <w:font w:name="仿宋">
    <w:panose1 w:val="02010609060101010101"/>
    <w:charset w:val="86"/>
    <w:family w:val="modern"/>
    <w:pitch w:val="default"/>
    <w:sig w:usb0="800002BF" w:usb1="38CF7CFA" w:usb2="00000016" w:usb3="00000000" w:csb0="00040001" w:csb1="00000000"/>
    <w:embedRegular r:id="rId7" w:fontKey="{236F0E83-47C8-4E22-A730-0794E23027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56EC">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4D8F3F">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7C4D8F3F">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192F">
    <w:pPr>
      <w:pStyle w:val="12"/>
      <w:tabs>
        <w:tab w:val="center" w:pos="4343"/>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DA55F4">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23DA55F4">
                    <w:pPr>
                      <w:rPr>
                        <w:rFonts w:hint="eastAsia"/>
                      </w:rPr>
                    </w:pP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B9D9">
    <w:pPr>
      <w:pStyle w:val="12"/>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5C8A48">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14:paraId="6C5C8A48">
                    <w:pPr>
                      <w:snapToGrid w:val="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9B5E">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28695">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E28695">
                    <w:pPr>
                      <w:pStyle w:val="12"/>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FB5749">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6CFB5749">
                    <w:pPr>
                      <w:snapToGrid w:val="0"/>
                      <w:rPr>
                        <w:rFonts w:hint="eastAsia"/>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8B02">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8011B">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008011B">
                    <w:pPr>
                      <w:pStyle w:val="12"/>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0816C9">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yeYQs0BAACpAwAADgAAAAAAAAABACAAAAAeAQAAZHJzL2Uy&#10;b0RvYy54bWxQSwUGAAAAAAYABgBZAQAAXQUAAAAA&#10;">
              <v:fill on="f" focussize="0,0"/>
              <v:stroke on="f"/>
              <v:imagedata o:title=""/>
              <o:lock v:ext="edit" aspectratio="f"/>
              <v:textbox inset="0mm,0mm,0mm,0mm" style="mso-fit-shape-to-text:t;">
                <w:txbxContent>
                  <w:p w14:paraId="710816C9">
                    <w:pPr>
                      <w:snapToGrid w:val="0"/>
                      <w:rPr>
                        <w:rFonts w:hint="eastAsia"/>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7B70">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5B7E8">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45B7E8">
                    <w:pPr>
                      <w:pStyle w:val="12"/>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6022AD">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7F6022AD">
                    <w:pPr>
                      <w:snapToGrid w:val="0"/>
                      <w:rPr>
                        <w:rFonts w:hint="eastAsia"/>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D0612">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35C09">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035C09">
                    <w:pPr>
                      <w:pStyle w:val="12"/>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2F62FA">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052F62FA">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1D48">
    <w:pPr>
      <w:pStyle w:val="13"/>
      <w:pBdr>
        <w:bottom w:val="single" w:color="auto" w:sz="4" w:space="1"/>
      </w:pBdr>
      <w:ind w:firstLine="0" w:firstLineChars="0"/>
      <w:jc w:val="both"/>
      <w:rPr>
        <w:rFonts w:hint="default" w:ascii="Times New Roman" w:hAnsi="Times New Roman" w:eastAsia="仿宋_GB2312" w:cs="Times New Roman"/>
        <w:sz w:val="18"/>
        <w:szCs w:val="18"/>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5278F">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35278F">
                    <w:pPr>
                      <w:pStyle w:val="13"/>
                    </w:pPr>
                  </w:p>
                </w:txbxContent>
              </v:textbox>
            </v:shape>
          </w:pict>
        </mc:Fallback>
      </mc:AlternateContent>
    </w:r>
  </w:p>
  <w:p w14:paraId="578B4A22">
    <w:pPr>
      <w:pStyle w:val="13"/>
      <w:pBdr>
        <w:bottom w:val="single" w:color="auto" w:sz="4" w:space="1"/>
      </w:pBdr>
      <w:ind w:firstLine="0" w:firstLine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四川蜀道铁路运营管理集团有限责任公司</w:t>
    </w:r>
    <w:r>
      <w:rPr>
        <w:rFonts w:hint="eastAsia" w:ascii="Times New Roman" w:hAnsi="Times New Roman" w:eastAsia="仿宋_GB2312" w:cs="Times New Roman"/>
        <w:sz w:val="18"/>
        <w:szCs w:val="18"/>
        <w:lang w:val="en-US" w:eastAsia="zh-CN"/>
      </w:rPr>
      <w:t>选聘</w:t>
    </w:r>
    <w:r>
      <w:rPr>
        <w:rFonts w:hint="default" w:ascii="Times New Roman" w:hAnsi="Times New Roman" w:eastAsia="仿宋_GB2312" w:cs="Times New Roman"/>
        <w:sz w:val="18"/>
        <w:szCs w:val="18"/>
        <w:lang w:val="en-US" w:eastAsia="zh-CN"/>
      </w:rPr>
      <w:t>202</w:t>
    </w:r>
    <w:r>
      <w:rPr>
        <w:rFonts w:hint="eastAsia" w:ascii="Times New Roman" w:hAnsi="Times New Roman" w:eastAsia="仿宋_GB2312" w:cs="Times New Roman"/>
        <w:sz w:val="18"/>
        <w:szCs w:val="18"/>
        <w:lang w:val="en-US" w:eastAsia="zh-CN"/>
      </w:rPr>
      <w:t>5</w:t>
    </w:r>
    <w:r>
      <w:rPr>
        <w:rFonts w:hint="default" w:ascii="Times New Roman" w:hAnsi="Times New Roman" w:eastAsia="仿宋_GB2312" w:cs="Times New Roman"/>
        <w:sz w:val="18"/>
        <w:szCs w:val="18"/>
        <w:lang w:val="en-US" w:eastAsia="zh-CN"/>
      </w:rPr>
      <w:t>年主体信用评级</w:t>
    </w:r>
    <w:r>
      <w:rPr>
        <w:rFonts w:hint="eastAsia" w:ascii="Times New Roman" w:hAnsi="Times New Roman" w:eastAsia="仿宋_GB2312" w:cs="Times New Roman"/>
        <w:sz w:val="18"/>
        <w:szCs w:val="18"/>
        <w:lang w:val="en-US" w:eastAsia="zh-CN"/>
      </w:rPr>
      <w:t>机构</w:t>
    </w:r>
    <w:r>
      <w:rPr>
        <w:rFonts w:hint="default" w:ascii="Times New Roman" w:hAnsi="Times New Roman" w:eastAsia="仿宋_GB2312" w:cs="Times New Roman"/>
        <w:sz w:val="18"/>
        <w:szCs w:val="18"/>
        <w:lang w:val="en-US" w:eastAsia="zh-CN"/>
      </w:rPr>
      <w:t>项目比选文件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916C">
    <w:pPr>
      <w:pStyle w:val="13"/>
      <w:pBdr>
        <w:bottom w:val="none" w:color="auto" w:sz="0" w:space="1"/>
      </w:pBdr>
      <w:ind w:firstLine="0" w:firstLineChars="0"/>
      <w:jc w:val="right"/>
      <w:rPr>
        <w:rFonts w:hint="default" w:ascii="Times New Roman" w:hAnsi="Times New Roman" w:eastAsia="仿宋_GB2312" w:cs="Times New Roman"/>
        <w:b/>
        <w:color w:val="000000"/>
        <w:sz w:val="18"/>
        <w:szCs w:val="18"/>
      </w:rPr>
    </w:pPr>
  </w:p>
  <w:p w14:paraId="328258F1">
    <w:pPr>
      <w:pStyle w:val="13"/>
      <w:pBdr>
        <w:bottom w:val="none" w:color="auto" w:sz="0" w:space="1"/>
      </w:pBdr>
      <w:ind w:firstLine="0" w:firstLineChars="0"/>
      <w:jc w:val="right"/>
      <w:rPr>
        <w:rFonts w:hint="default" w:ascii="Times New Roman" w:hAnsi="Times New Roman" w:eastAsia="仿宋_GB2312" w:cs="Times New Roman"/>
        <w:b/>
        <w:color w:val="000000"/>
        <w:sz w:val="18"/>
        <w:szCs w:val="18"/>
      </w:rPr>
    </w:pPr>
  </w:p>
  <w:p w14:paraId="7F1857A1">
    <w:pPr>
      <w:pStyle w:val="12"/>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27"/>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28"/>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2">
    <w:nsid w:val="1A1A1DE2"/>
    <w:multiLevelType w:val="multilevel"/>
    <w:tmpl w:val="1A1A1DE2"/>
    <w:lvl w:ilvl="0" w:tentative="0">
      <w:start w:val="1"/>
      <w:numFmt w:val="lowerRoman"/>
      <w:lvlText w:val="(%1)"/>
      <w:lvlJc w:val="left"/>
      <w:pPr>
        <w:ind w:left="960" w:hanging="420"/>
      </w:pPr>
      <w:rPr>
        <w:rFonts w:hint="default"/>
      </w:rPr>
    </w:lvl>
    <w:lvl w:ilvl="1" w:tentative="0">
      <w:start w:val="1"/>
      <w:numFmt w:val="lowerRoman"/>
      <w:lvlText w:val="(%2)"/>
      <w:lvlJc w:val="left"/>
      <w:pPr>
        <w:ind w:left="1380" w:hanging="420"/>
      </w:pPr>
      <w:rPr>
        <w:rFonts w:hint="default"/>
      </w:r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CE711AE"/>
    <w:multiLevelType w:val="multilevel"/>
    <w:tmpl w:val="4CE711AE"/>
    <w:lvl w:ilvl="0" w:tentative="0">
      <w:start w:val="1"/>
      <w:numFmt w:val="lowerRoman"/>
      <w:lvlText w:val="(%1)"/>
      <w:lvlJc w:val="left"/>
      <w:pPr>
        <w:ind w:left="900" w:hanging="420"/>
      </w:pPr>
      <w:rPr>
        <w:rFonts w:hint="default"/>
      </w:rPr>
    </w:lvl>
    <w:lvl w:ilvl="1" w:tentative="0">
      <w:start w:val="1"/>
      <w:numFmt w:val="lowerRoman"/>
      <w:lvlText w:val="(%2)"/>
      <w:lvlJc w:val="left"/>
      <w:pPr>
        <w:ind w:left="1320" w:hanging="4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40650CC"/>
    <w:multiLevelType w:val="multilevel"/>
    <w:tmpl w:val="740650CC"/>
    <w:lvl w:ilvl="0" w:tentative="0">
      <w:start w:val="1"/>
      <w:numFmt w:val="lowerRoman"/>
      <w:lvlText w:val="(%1)"/>
      <w:lvlJc w:val="left"/>
      <w:pPr>
        <w:ind w:left="1020" w:hanging="420"/>
      </w:pPr>
      <w:rPr>
        <w:rFonts w:hint="default"/>
      </w:rPr>
    </w:lvl>
    <w:lvl w:ilvl="1" w:tentative="0">
      <w:start w:val="1"/>
      <w:numFmt w:val="lowerRoman"/>
      <w:lvlText w:val="(%2)"/>
      <w:lvlJc w:val="left"/>
      <w:pPr>
        <w:ind w:left="1440" w:hanging="420"/>
      </w:pPr>
      <w:rPr>
        <w:rFonts w:hint="default"/>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NGRjOWRiOThmYTI0ODNjZmJlNTgwYjcyYWUyMGEifQ=="/>
  </w:docVars>
  <w:rsids>
    <w:rsidRoot w:val="17F35A0D"/>
    <w:rsid w:val="00CB34F1"/>
    <w:rsid w:val="00F31228"/>
    <w:rsid w:val="00F51D61"/>
    <w:rsid w:val="00FB4665"/>
    <w:rsid w:val="014A0555"/>
    <w:rsid w:val="02DF5CFE"/>
    <w:rsid w:val="0323246D"/>
    <w:rsid w:val="03F82FC0"/>
    <w:rsid w:val="04A83BC2"/>
    <w:rsid w:val="052B518D"/>
    <w:rsid w:val="057F7DB5"/>
    <w:rsid w:val="064920A9"/>
    <w:rsid w:val="069227DA"/>
    <w:rsid w:val="06FC3A93"/>
    <w:rsid w:val="09A92E61"/>
    <w:rsid w:val="0A376EB7"/>
    <w:rsid w:val="0A66466F"/>
    <w:rsid w:val="0A6C2012"/>
    <w:rsid w:val="0A7E27B9"/>
    <w:rsid w:val="0AE53B72"/>
    <w:rsid w:val="0B2E64DC"/>
    <w:rsid w:val="0B69087B"/>
    <w:rsid w:val="0BA21A8F"/>
    <w:rsid w:val="0C112E71"/>
    <w:rsid w:val="0D355D4E"/>
    <w:rsid w:val="0E1B0A92"/>
    <w:rsid w:val="0F154F78"/>
    <w:rsid w:val="0FFDBF67"/>
    <w:rsid w:val="10BE6F78"/>
    <w:rsid w:val="11C833BC"/>
    <w:rsid w:val="12D8375B"/>
    <w:rsid w:val="12F232D0"/>
    <w:rsid w:val="13771934"/>
    <w:rsid w:val="13904FA7"/>
    <w:rsid w:val="145C12F0"/>
    <w:rsid w:val="14A94B2B"/>
    <w:rsid w:val="14E336E2"/>
    <w:rsid w:val="14F07882"/>
    <w:rsid w:val="14F67708"/>
    <w:rsid w:val="15D6065B"/>
    <w:rsid w:val="16286616"/>
    <w:rsid w:val="17F35A0D"/>
    <w:rsid w:val="185018EF"/>
    <w:rsid w:val="1ACD5593"/>
    <w:rsid w:val="1B446B4C"/>
    <w:rsid w:val="1C7D7B4D"/>
    <w:rsid w:val="1D191804"/>
    <w:rsid w:val="1D5665C6"/>
    <w:rsid w:val="1D994959"/>
    <w:rsid w:val="1DE624D8"/>
    <w:rsid w:val="1F4319E9"/>
    <w:rsid w:val="1F8F757A"/>
    <w:rsid w:val="1FE25ECD"/>
    <w:rsid w:val="1FFB1A16"/>
    <w:rsid w:val="22973386"/>
    <w:rsid w:val="23BA6B2D"/>
    <w:rsid w:val="23EB3B50"/>
    <w:rsid w:val="24877D1C"/>
    <w:rsid w:val="249C7E82"/>
    <w:rsid w:val="253F7B1B"/>
    <w:rsid w:val="25D040FD"/>
    <w:rsid w:val="26D64D65"/>
    <w:rsid w:val="278E4BED"/>
    <w:rsid w:val="27B877B2"/>
    <w:rsid w:val="282F7010"/>
    <w:rsid w:val="29657CAB"/>
    <w:rsid w:val="296B2AA0"/>
    <w:rsid w:val="299974EA"/>
    <w:rsid w:val="2BFB2F42"/>
    <w:rsid w:val="2C8E3D25"/>
    <w:rsid w:val="2DBC03EE"/>
    <w:rsid w:val="2DE4351C"/>
    <w:rsid w:val="2F053627"/>
    <w:rsid w:val="2F6132B3"/>
    <w:rsid w:val="2FB76FDC"/>
    <w:rsid w:val="2FD11614"/>
    <w:rsid w:val="30F90F44"/>
    <w:rsid w:val="311E64C4"/>
    <w:rsid w:val="318E5DD0"/>
    <w:rsid w:val="320C542C"/>
    <w:rsid w:val="322B1B48"/>
    <w:rsid w:val="331F4FC6"/>
    <w:rsid w:val="3372079D"/>
    <w:rsid w:val="35AF23C8"/>
    <w:rsid w:val="375A705A"/>
    <w:rsid w:val="38901E10"/>
    <w:rsid w:val="3A59250E"/>
    <w:rsid w:val="3A9C574C"/>
    <w:rsid w:val="3AEC2EEE"/>
    <w:rsid w:val="3B3F2CA7"/>
    <w:rsid w:val="3C816D0C"/>
    <w:rsid w:val="3CA1253B"/>
    <w:rsid w:val="3CD9045F"/>
    <w:rsid w:val="3E55101A"/>
    <w:rsid w:val="3F6727CC"/>
    <w:rsid w:val="40DF1BFF"/>
    <w:rsid w:val="42D812EB"/>
    <w:rsid w:val="42ED7250"/>
    <w:rsid w:val="45462D89"/>
    <w:rsid w:val="45C00846"/>
    <w:rsid w:val="4747468D"/>
    <w:rsid w:val="485964EC"/>
    <w:rsid w:val="4860600B"/>
    <w:rsid w:val="48A57EC2"/>
    <w:rsid w:val="49284751"/>
    <w:rsid w:val="4951040C"/>
    <w:rsid w:val="4A221A31"/>
    <w:rsid w:val="4A925BA6"/>
    <w:rsid w:val="4B972CF8"/>
    <w:rsid w:val="4BF453E8"/>
    <w:rsid w:val="4D9B36C9"/>
    <w:rsid w:val="4E9B5745"/>
    <w:rsid w:val="4EB3623F"/>
    <w:rsid w:val="4F84667A"/>
    <w:rsid w:val="51A100B8"/>
    <w:rsid w:val="52636E23"/>
    <w:rsid w:val="52F55BC7"/>
    <w:rsid w:val="54BC151F"/>
    <w:rsid w:val="5606089F"/>
    <w:rsid w:val="56A060FA"/>
    <w:rsid w:val="57FA37FB"/>
    <w:rsid w:val="58C470AF"/>
    <w:rsid w:val="59CD2406"/>
    <w:rsid w:val="5A421A14"/>
    <w:rsid w:val="5A4B1E9A"/>
    <w:rsid w:val="5A853A34"/>
    <w:rsid w:val="5BC74341"/>
    <w:rsid w:val="5C281176"/>
    <w:rsid w:val="5C593EAF"/>
    <w:rsid w:val="5E832528"/>
    <w:rsid w:val="5F5B3E6C"/>
    <w:rsid w:val="616104DF"/>
    <w:rsid w:val="61BF6FC5"/>
    <w:rsid w:val="61E445EE"/>
    <w:rsid w:val="62877E2C"/>
    <w:rsid w:val="63FB6D4E"/>
    <w:rsid w:val="641928D4"/>
    <w:rsid w:val="646C5C3B"/>
    <w:rsid w:val="64B71D6F"/>
    <w:rsid w:val="652007B6"/>
    <w:rsid w:val="665B795F"/>
    <w:rsid w:val="67820276"/>
    <w:rsid w:val="67B34E74"/>
    <w:rsid w:val="67F50014"/>
    <w:rsid w:val="6BA71A7B"/>
    <w:rsid w:val="6C4010D8"/>
    <w:rsid w:val="6CB936F7"/>
    <w:rsid w:val="6CCD33BF"/>
    <w:rsid w:val="6CFF4A0A"/>
    <w:rsid w:val="6D3D1CF8"/>
    <w:rsid w:val="6DE679A6"/>
    <w:rsid w:val="6EE77147"/>
    <w:rsid w:val="6F23376B"/>
    <w:rsid w:val="6F577BA2"/>
    <w:rsid w:val="6F6B1258"/>
    <w:rsid w:val="705057B8"/>
    <w:rsid w:val="719E5EB9"/>
    <w:rsid w:val="71A67303"/>
    <w:rsid w:val="720F6228"/>
    <w:rsid w:val="72FF5D7E"/>
    <w:rsid w:val="73151395"/>
    <w:rsid w:val="73616933"/>
    <w:rsid w:val="73C60E04"/>
    <w:rsid w:val="73C70884"/>
    <w:rsid w:val="750B717B"/>
    <w:rsid w:val="77895F00"/>
    <w:rsid w:val="782A5B6A"/>
    <w:rsid w:val="787F1241"/>
    <w:rsid w:val="78AE444D"/>
    <w:rsid w:val="78E137CD"/>
    <w:rsid w:val="7AB404E5"/>
    <w:rsid w:val="7B0F1874"/>
    <w:rsid w:val="7B374CDC"/>
    <w:rsid w:val="7CAA5D00"/>
    <w:rsid w:val="7F551AEA"/>
    <w:rsid w:val="7F811A08"/>
    <w:rsid w:val="7F8F2124"/>
    <w:rsid w:val="B7FF3D97"/>
    <w:rsid w:val="DDFF16E6"/>
    <w:rsid w:val="EE991956"/>
    <w:rsid w:val="FBCF6F23"/>
    <w:rsid w:val="FF6EA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rFonts w:ascii="宋体" w:hAnsi="宋体"/>
      <w:b/>
      <w:bCs/>
      <w:kern w:val="44"/>
      <w:sz w:val="44"/>
      <w:szCs w:val="44"/>
    </w:rPr>
  </w:style>
  <w:style w:type="paragraph" w:styleId="3">
    <w:name w:val="heading 2"/>
    <w:basedOn w:val="4"/>
    <w:next w:val="4"/>
    <w:qFormat/>
    <w:uiPriority w:val="9"/>
    <w:pPr>
      <w:keepNext/>
      <w:ind w:firstLine="241" w:firstLineChars="100"/>
      <w:outlineLvl w:val="1"/>
    </w:pPr>
    <w:rPr>
      <w:rFonts w:ascii="宋体" w:hAnsi="宋体"/>
      <w:b/>
      <w:bCs/>
      <w:sz w:val="24"/>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4">
    <w:name w:val="Default"/>
    <w:next w:val="5"/>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paragraph" w:styleId="5">
    <w:name w:val="caption"/>
    <w:basedOn w:val="1"/>
    <w:next w:val="1"/>
    <w:qFormat/>
    <w:uiPriority w:val="0"/>
    <w:rPr>
      <w:rFonts w:ascii="Cambria" w:hAnsi="Cambria" w:eastAsia="黑体"/>
      <w:sz w:val="20"/>
      <w:szCs w:val="20"/>
    </w:rPr>
  </w:style>
  <w:style w:type="paragraph" w:styleId="6">
    <w:name w:val="Normal Indent"/>
    <w:basedOn w:val="1"/>
    <w:qFormat/>
    <w:uiPriority w:val="0"/>
    <w:pPr>
      <w:snapToGrid w:val="0"/>
      <w:ind w:firstLine="556"/>
    </w:pPr>
    <w:rPr>
      <w:rFonts w:ascii="仿宋_GB2312" w:hAnsi="Times New Roman" w:eastAsia="仿宋_GB2312"/>
      <w:kern w:val="0"/>
      <w:szCs w:val="20"/>
      <w:lang w:val="zh-CN"/>
    </w:rPr>
  </w:style>
  <w:style w:type="paragraph" w:styleId="7">
    <w:name w:val="annotation text"/>
    <w:basedOn w:val="1"/>
    <w:unhideWhenUsed/>
    <w:qFormat/>
    <w:uiPriority w:val="99"/>
    <w:pPr>
      <w:jc w:val="left"/>
    </w:pPr>
  </w:style>
  <w:style w:type="paragraph" w:styleId="8">
    <w:name w:val="Body Text"/>
    <w:basedOn w:val="1"/>
    <w:next w:val="1"/>
    <w:qFormat/>
    <w:uiPriority w:val="0"/>
    <w:rPr>
      <w:sz w:val="24"/>
      <w:szCs w:val="24"/>
    </w:rPr>
  </w:style>
  <w:style w:type="paragraph" w:styleId="9">
    <w:name w:val="Body Text Indent"/>
    <w:basedOn w:val="1"/>
    <w:unhideWhenUsed/>
    <w:qFormat/>
    <w:uiPriority w:val="99"/>
    <w:pPr>
      <w:spacing w:after="120"/>
      <w:ind w:left="420" w:leftChars="200"/>
    </w:pPr>
  </w:style>
  <w:style w:type="paragraph" w:styleId="10">
    <w:name w:val="Plain Text"/>
    <w:basedOn w:val="1"/>
    <w:unhideWhenUsed/>
    <w:qFormat/>
    <w:uiPriority w:val="99"/>
    <w:rPr>
      <w:rFonts w:ascii="宋体" w:hAnsi="Courier New"/>
      <w:szCs w:val="20"/>
    </w:rPr>
  </w:style>
  <w:style w:type="paragraph" w:styleId="11">
    <w:name w:val="Body Text Indent 2"/>
    <w:basedOn w:val="1"/>
    <w:unhideWhenUsed/>
    <w:qFormat/>
    <w:uiPriority w:val="99"/>
    <w:pPr>
      <w:ind w:firstLine="420" w:firstLineChars="150"/>
      <w:jc w:val="left"/>
    </w:pPr>
    <w:rPr>
      <w:rFonts w:ascii="宋体" w:hAnsi="宋体"/>
      <w:sz w:val="28"/>
      <w:szCs w:val="24"/>
    </w:rPr>
  </w:style>
  <w:style w:type="paragraph" w:styleId="12">
    <w:name w:val="footer"/>
    <w:basedOn w:val="1"/>
    <w:unhideWhenUsed/>
    <w:qFormat/>
    <w:uiPriority w:val="0"/>
    <w:pPr>
      <w:tabs>
        <w:tab w:val="center" w:pos="4153"/>
        <w:tab w:val="right" w:pos="8306"/>
      </w:tabs>
      <w:snapToGrid w:val="0"/>
      <w:jc w:val="left"/>
    </w:pPr>
    <w:rPr>
      <w:rFonts w:ascii="宋体" w:hAnsi="宋体"/>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14">
    <w:name w:val="toc 1"/>
    <w:basedOn w:val="1"/>
    <w:next w:val="1"/>
    <w:unhideWhenUsed/>
    <w:qFormat/>
    <w:uiPriority w:val="39"/>
    <w:rPr>
      <w:rFonts w:ascii="宋体" w:hAnsi="宋体" w:eastAsia="方正仿宋简体"/>
      <w:szCs w:val="24"/>
    </w:rPr>
  </w:style>
  <w:style w:type="paragraph" w:styleId="15">
    <w:name w:val="toc 2"/>
    <w:basedOn w:val="1"/>
    <w:next w:val="1"/>
    <w:unhideWhenUsed/>
    <w:qFormat/>
    <w:uiPriority w:val="39"/>
    <w:pPr>
      <w:tabs>
        <w:tab w:val="right" w:leader="dot" w:pos="9174"/>
      </w:tabs>
      <w:ind w:left="420" w:leftChars="200"/>
    </w:pPr>
  </w:style>
  <w:style w:type="paragraph" w:styleId="16">
    <w:name w:val="Body Text First Indent 2"/>
    <w:basedOn w:val="9"/>
    <w:next w:val="8"/>
    <w:unhideWhenUsed/>
    <w:qFormat/>
    <w:uiPriority w:val="99"/>
    <w:pPr>
      <w:ind w:firstLine="42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nhideWhenUsed/>
    <w:qFormat/>
    <w:uiPriority w:val="99"/>
  </w:style>
  <w:style w:type="paragraph" w:customStyle="1" w:styleId="21">
    <w:name w:val="_Style 8"/>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标题 5（有编号）（绿盟科技）"/>
    <w:basedOn w:val="1"/>
    <w:next w:val="2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4">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Level 2"/>
    <w:basedOn w:val="1"/>
    <w:next w:val="1"/>
    <w:qFormat/>
    <w:uiPriority w:val="0"/>
    <w:pPr>
      <w:numPr>
        <w:ilvl w:val="1"/>
        <w:numId w:val="2"/>
      </w:numPr>
      <w:adjustRightInd/>
      <w:spacing w:line="360" w:lineRule="auto"/>
      <w:textAlignment w:val="auto"/>
      <w:outlineLvl w:val="1"/>
    </w:pPr>
    <w:rPr>
      <w:rFonts w:ascii="Arial" w:hAnsi="Arial"/>
      <w:w w:val="105"/>
      <w:kern w:val="20"/>
      <w:sz w:val="24"/>
      <w:lang w:val="en-GB" w:eastAsia="en-US"/>
    </w:rPr>
  </w:style>
  <w:style w:type="paragraph" w:customStyle="1" w:styleId="28">
    <w:name w:val="FWB_L4"/>
    <w:basedOn w:val="1"/>
    <w:qFormat/>
    <w:uiPriority w:val="0"/>
    <w:pPr>
      <w:widowControl/>
      <w:numPr>
        <w:ilvl w:val="3"/>
        <w:numId w:val="3"/>
      </w:numPr>
      <w:tabs>
        <w:tab w:val="left" w:pos="360"/>
        <w:tab w:val="clear" w:pos="1440"/>
      </w:tabs>
      <w:adjustRightInd/>
      <w:spacing w:after="240" w:afterLines="0" w:line="240" w:lineRule="auto"/>
      <w:textAlignment w:val="auto"/>
    </w:pPr>
    <w:rPr>
      <w:smallCaps/>
      <w:sz w:val="24"/>
      <w:lang w:val="en-GB" w:eastAsia="en-US"/>
    </w:rPr>
  </w:style>
  <w:style w:type="paragraph" w:customStyle="1" w:styleId="29">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四川交投产融控股有限公司</Company>
  <Pages>47</Pages>
  <Words>14355</Words>
  <Characters>15016</Characters>
  <Lines>0</Lines>
  <Paragraphs>0</Paragraphs>
  <TotalTime>56</TotalTime>
  <ScaleCrop>false</ScaleCrop>
  <LinksUpToDate>false</LinksUpToDate>
  <CharactersWithSpaces>15991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2024-09-13T00:36:00Z</dcterms:created>
  <dc:creator>14813</dc:creator>
  <cp:lastModifiedBy>冯建华</cp:lastModifiedBy>
  <cp:lastPrinted>2025-09-03T10:52:00Z</cp:lastPrinted>
  <dcterms:modified xsi:type="dcterms:W3CDTF">2025-09-09T06:39:21Z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EE2F9A9A726647EAAC4C4FBB79056F99_13</vt:lpwstr>
  </property>
  <property fmtid="{D5CDD505-2E9C-101B-9397-08002B2CF9AE}" pid="4" name="KSOTemplateDocerSaveRecord">
    <vt:lpwstr>eyJoZGlkIjoiZjY0NTIyMzBlNDQ0NjBjODMwODU3ZThkYmQ2YmVhYWQiLCJ1c2VySWQiOiIxNjQ0MjAxNzg3In0=</vt:lpwstr>
  </property>
</Properties>
</file>