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eastAsia="方正小标宋简体"/>
          <w:b/>
          <w:kern w:val="2"/>
          <w:sz w:val="44"/>
          <w:szCs w:val="44"/>
        </w:rPr>
      </w:pPr>
    </w:p>
    <w:p>
      <w:pPr>
        <w:spacing w:line="500" w:lineRule="exact"/>
        <w:jc w:val="center"/>
        <w:rPr>
          <w:rFonts w:ascii="方正小标宋简体" w:hAnsi="黑体" w:eastAsia="方正小标宋简体" w:cs="黑体"/>
          <w:kern w:val="2"/>
          <w:sz w:val="44"/>
          <w:szCs w:val="44"/>
        </w:rPr>
      </w:pPr>
      <w:r>
        <w:rPr>
          <w:rFonts w:hint="eastAsia" w:ascii="方正小标宋简体" w:hAnsi="黑体" w:eastAsia="方正小标宋简体" w:cs="黑体"/>
          <w:kern w:val="2"/>
          <w:sz w:val="44"/>
          <w:szCs w:val="44"/>
        </w:rPr>
        <w:t>四川蜀道铁路运营管理集团有限责任公司</w:t>
      </w:r>
    </w:p>
    <w:p>
      <w:pPr>
        <w:spacing w:line="500" w:lineRule="exact"/>
        <w:jc w:val="center"/>
        <w:rPr>
          <w:rFonts w:ascii="方正小标宋简体" w:hAnsi="黑体" w:eastAsia="方正小标宋简体" w:cs="黑体"/>
          <w:kern w:val="2"/>
          <w:sz w:val="44"/>
          <w:szCs w:val="44"/>
        </w:rPr>
      </w:pPr>
      <w:r>
        <w:rPr>
          <w:rFonts w:hint="eastAsia" w:ascii="方正小标宋简体" w:hAnsi="黑体" w:eastAsia="方正小标宋简体" w:cs="黑体"/>
          <w:kern w:val="2"/>
          <w:sz w:val="44"/>
          <w:szCs w:val="44"/>
        </w:rPr>
        <w:t>税务顾问服务项目</w:t>
      </w:r>
    </w:p>
    <w:p>
      <w:pPr>
        <w:jc w:val="center"/>
        <w:rPr>
          <w:rFonts w:ascii="方正小标宋简体" w:hAnsi="黑体" w:eastAsia="方正小标宋简体" w:cs="黑体"/>
          <w:kern w:val="2"/>
          <w:sz w:val="44"/>
          <w:szCs w:val="44"/>
        </w:rPr>
      </w:pPr>
    </w:p>
    <w:p>
      <w:pPr>
        <w:jc w:val="center"/>
        <w:rPr>
          <w:rFonts w:ascii="方正小标宋简体" w:hAnsi="黑体" w:eastAsia="方正小标宋简体" w:cs="黑体"/>
          <w:sz w:val="84"/>
        </w:rPr>
      </w:pPr>
    </w:p>
    <w:p>
      <w:pPr>
        <w:pStyle w:val="2"/>
        <w:ind w:left="0" w:leftChars="0" w:firstLine="0" w:firstLineChars="0"/>
        <w:rPr>
          <w:rFonts w:ascii="方正小标宋简体" w:hAnsi="黑体" w:eastAsia="方正小标宋简体" w:cs="黑体"/>
        </w:rPr>
      </w:pPr>
    </w:p>
    <w:p>
      <w:pPr>
        <w:jc w:val="center"/>
        <w:rPr>
          <w:rFonts w:ascii="方正小标宋简体" w:hAnsi="黑体" w:eastAsia="方正小标宋简体" w:cs="黑体"/>
          <w:kern w:val="2"/>
          <w:sz w:val="84"/>
          <w:szCs w:val="84"/>
        </w:rPr>
      </w:pPr>
      <w:r>
        <w:rPr>
          <w:rFonts w:hint="eastAsia" w:ascii="方正小标宋简体" w:hAnsi="黑体" w:eastAsia="方正小标宋简体" w:cs="黑体"/>
          <w:kern w:val="2"/>
          <w:sz w:val="84"/>
          <w:szCs w:val="84"/>
        </w:rPr>
        <w:t>比 选 文 件</w:t>
      </w:r>
    </w:p>
    <w:p>
      <w:pPr>
        <w:pStyle w:val="2"/>
        <w:ind w:left="440" w:firstLine="440"/>
        <w:rPr>
          <w:rFonts w:ascii="方正小标宋简体" w:eastAsia="方正小标宋简体"/>
        </w:rPr>
      </w:pPr>
    </w:p>
    <w:p>
      <w:pPr>
        <w:jc w:val="center"/>
        <w:rPr>
          <w:rFonts w:ascii="方正小标宋简体" w:hAnsi="宋体" w:eastAsia="方正小标宋简体" w:cs="宋体"/>
          <w:sz w:val="84"/>
        </w:rPr>
      </w:pPr>
    </w:p>
    <w:p>
      <w:pPr>
        <w:pStyle w:val="2"/>
        <w:ind w:left="440" w:firstLine="440"/>
        <w:rPr>
          <w:rFonts w:ascii="方正小标宋简体" w:hAnsi="宋体" w:eastAsia="方正小标宋简体" w:cs="宋体"/>
        </w:rPr>
      </w:pPr>
    </w:p>
    <w:p>
      <w:pPr>
        <w:pStyle w:val="2"/>
        <w:ind w:left="440" w:firstLine="440"/>
        <w:rPr>
          <w:rFonts w:ascii="方正小标宋简体" w:hAnsi="宋体" w:eastAsia="方正小标宋简体" w:cs="宋体"/>
        </w:rPr>
      </w:pPr>
    </w:p>
    <w:p>
      <w:pPr>
        <w:rPr>
          <w:rFonts w:ascii="方正小标宋简体" w:hAnsi="宋体" w:eastAsia="方正小标宋简体" w:cs="宋体"/>
          <w:sz w:val="32"/>
          <w:szCs w:val="32"/>
        </w:rPr>
      </w:pPr>
    </w:p>
    <w:p>
      <w:pPr>
        <w:spacing w:line="500" w:lineRule="exact"/>
        <w:jc w:val="center"/>
        <w:rPr>
          <w:rFonts w:ascii="方正小标宋简体" w:eastAsia="方正小标宋简体"/>
          <w:kern w:val="2"/>
          <w:sz w:val="32"/>
          <w:szCs w:val="32"/>
        </w:rPr>
      </w:pPr>
      <w:r>
        <w:rPr>
          <w:rFonts w:hint="eastAsia" w:ascii="方正小标宋简体" w:eastAsia="方正小标宋简体"/>
          <w:kern w:val="2"/>
          <w:sz w:val="32"/>
          <w:szCs w:val="32"/>
        </w:rPr>
        <w:t>比选人:</w:t>
      </w:r>
      <w:r>
        <w:rPr>
          <w:rFonts w:hint="eastAsia"/>
        </w:rPr>
        <w:t xml:space="preserve"> </w:t>
      </w:r>
      <w:r>
        <w:rPr>
          <w:rFonts w:hint="eastAsia" w:ascii="方正小标宋简体" w:eastAsia="方正小标宋简体"/>
          <w:kern w:val="2"/>
          <w:sz w:val="32"/>
          <w:szCs w:val="32"/>
        </w:rPr>
        <w:t>四川蜀道铁路运营管理集团有限责任公司</w:t>
      </w:r>
    </w:p>
    <w:p>
      <w:pPr>
        <w:autoSpaceDE w:val="0"/>
        <w:autoSpaceDN w:val="0"/>
        <w:spacing w:line="300" w:lineRule="exact"/>
        <w:jc w:val="center"/>
        <w:rPr>
          <w:rFonts w:ascii="方正小标宋简体" w:hAnsi="黑体" w:eastAsia="方正小标宋简体" w:cs="黑体"/>
          <w:sz w:val="40"/>
          <w:szCs w:val="40"/>
        </w:rPr>
      </w:pPr>
    </w:p>
    <w:p>
      <w:pPr>
        <w:autoSpaceDE w:val="0"/>
        <w:autoSpaceDN w:val="0"/>
        <w:jc w:val="center"/>
        <w:rPr>
          <w:rFonts w:ascii="方正小标宋简体" w:hAnsi="黑体" w:eastAsia="方正小标宋简体" w:cs="黑体"/>
          <w:kern w:val="2"/>
          <w:sz w:val="32"/>
          <w:szCs w:val="32"/>
        </w:rPr>
      </w:pPr>
      <w:r>
        <w:rPr>
          <w:rFonts w:hint="eastAsia" w:ascii="方正小标宋简体" w:hAnsi="黑体" w:eastAsia="方正小标宋简体" w:cs="黑体"/>
          <w:kern w:val="2"/>
          <w:sz w:val="32"/>
          <w:szCs w:val="32"/>
          <w:lang w:val="en-US" w:eastAsia="zh-CN"/>
        </w:rPr>
        <w:t>2024</w:t>
      </w:r>
      <w:r>
        <w:rPr>
          <w:rFonts w:hint="eastAsia" w:ascii="方正小标宋简体" w:hAnsi="黑体" w:eastAsia="方正小标宋简体" w:cs="黑体"/>
          <w:kern w:val="2"/>
          <w:sz w:val="32"/>
          <w:szCs w:val="32"/>
        </w:rPr>
        <w:t>年</w:t>
      </w:r>
      <w:r>
        <w:rPr>
          <w:rFonts w:hint="eastAsia" w:ascii="方正小标宋简体" w:hAnsi="黑体" w:eastAsia="方正小标宋简体" w:cs="黑体"/>
          <w:kern w:val="2"/>
          <w:sz w:val="32"/>
          <w:szCs w:val="32"/>
          <w:lang w:val="en-US" w:eastAsia="zh-CN"/>
        </w:rPr>
        <w:t>1</w:t>
      </w:r>
      <w:r>
        <w:rPr>
          <w:rFonts w:hint="eastAsia" w:ascii="方正小标宋简体" w:hAnsi="黑体" w:eastAsia="方正小标宋简体" w:cs="黑体"/>
          <w:kern w:val="2"/>
          <w:sz w:val="32"/>
          <w:szCs w:val="32"/>
        </w:rPr>
        <w:t>月 成都</w:t>
      </w:r>
    </w:p>
    <w:p>
      <w:pPr>
        <w:spacing w:line="360" w:lineRule="auto"/>
        <w:jc w:val="center"/>
        <w:outlineLvl w:val="0"/>
        <w:rPr>
          <w:rFonts w:ascii="宋体" w:hAnsi="宋体" w:cs="宋体"/>
          <w:b/>
          <w:sz w:val="44"/>
          <w:szCs w:val="44"/>
          <w:highlight w:val="yellow"/>
        </w:rPr>
        <w:sectPr>
          <w:footerReference r:id="rId4" w:type="first"/>
          <w:pgSz w:w="11906" w:h="16838"/>
          <w:pgMar w:top="2098" w:right="1474" w:bottom="1984" w:left="1587" w:header="851" w:footer="992" w:gutter="0"/>
          <w:pgNumType w:fmt="numberInDash"/>
          <w:cols w:space="720" w:num="1"/>
          <w:rtlGutter w:val="0"/>
          <w:docGrid w:linePitch="312" w:charSpace="0"/>
        </w:sectPr>
      </w:pPr>
    </w:p>
    <w:p>
      <w:pPr>
        <w:pStyle w:val="2"/>
        <w:ind w:left="440" w:firstLine="440"/>
      </w:pPr>
      <w:bookmarkStart w:id="0" w:name="_Toc25051_WPSOffice_Type1"/>
    </w:p>
    <w:sdt>
      <w:sdtPr>
        <w:rPr>
          <w:rFonts w:ascii="Tahoma" w:hAnsi="Tahoma" w:eastAsia="微软雅黑" w:cstheme="minorBidi"/>
          <w:color w:val="auto"/>
          <w:sz w:val="22"/>
          <w:szCs w:val="22"/>
          <w:lang w:val="zh-CN"/>
        </w:rPr>
        <w:id w:val="1878354199"/>
      </w:sdtPr>
      <w:sdtEndPr>
        <w:rPr>
          <w:rFonts w:ascii="Tahoma" w:hAnsi="Tahoma" w:eastAsia="微软雅黑" w:cstheme="minorBidi"/>
          <w:b/>
          <w:bCs/>
          <w:color w:val="auto"/>
          <w:sz w:val="22"/>
          <w:szCs w:val="22"/>
          <w:lang w:val="zh-CN"/>
        </w:rPr>
      </w:sdtEndPr>
      <w:sdtContent>
        <w:p>
          <w:pPr>
            <w:pStyle w:val="46"/>
            <w:jc w:val="center"/>
            <w:rPr>
              <w:rFonts w:ascii="仿宋_GB2312" w:eastAsia="仿宋_GB2312"/>
              <w:b/>
              <w:color w:val="auto"/>
              <w:sz w:val="36"/>
              <w:lang w:val="zh-CN"/>
            </w:rPr>
          </w:pPr>
          <w:r>
            <w:rPr>
              <w:rFonts w:hint="eastAsia" w:ascii="仿宋_GB2312" w:eastAsia="仿宋_GB2312"/>
              <w:b/>
              <w:color w:val="auto"/>
              <w:sz w:val="36"/>
              <w:lang w:val="zh-CN"/>
            </w:rPr>
            <w:t>目  录</w:t>
          </w:r>
        </w:p>
        <w:p>
          <w:pPr>
            <w:rPr>
              <w:lang w:val="zh-CN"/>
            </w:rPr>
          </w:pPr>
        </w:p>
        <w:p>
          <w:pPr>
            <w:pStyle w:val="15"/>
            <w:tabs>
              <w:tab w:val="right" w:leader="dot" w:pos="8296"/>
            </w:tabs>
            <w:spacing w:line="480" w:lineRule="auto"/>
            <w:rPr>
              <w:rFonts w:ascii="仿宋_GB2312" w:eastAsia="仿宋_GB2312" w:hAnsiTheme="minorHAnsi"/>
              <w:b/>
              <w:kern w:val="2"/>
              <w:sz w:val="28"/>
              <w:szCs w:val="28"/>
            </w:rPr>
          </w:pPr>
          <w:r>
            <w:rPr>
              <w:rFonts w:hint="eastAsia" w:ascii="仿宋_GB2312" w:eastAsia="仿宋_GB2312"/>
              <w:b/>
              <w:sz w:val="28"/>
              <w:szCs w:val="28"/>
            </w:rPr>
            <w:fldChar w:fldCharType="begin"/>
          </w:r>
          <w:r>
            <w:rPr>
              <w:rFonts w:hint="eastAsia" w:ascii="仿宋_GB2312" w:eastAsia="仿宋_GB2312"/>
              <w:b/>
              <w:sz w:val="28"/>
              <w:szCs w:val="28"/>
            </w:rPr>
            <w:instrText xml:space="preserve"> TOC \o "1-3" \h \z \u </w:instrText>
          </w:r>
          <w:r>
            <w:rPr>
              <w:rFonts w:hint="eastAsia" w:ascii="仿宋_GB2312" w:eastAsia="仿宋_GB2312"/>
              <w:b/>
              <w:sz w:val="28"/>
              <w:szCs w:val="28"/>
            </w:rPr>
            <w:fldChar w:fldCharType="separate"/>
          </w:r>
          <w:r>
            <w:fldChar w:fldCharType="begin"/>
          </w:r>
          <w:r>
            <w:instrText xml:space="preserve"> HYPERLINK \l "_Toc96874880" </w:instrText>
          </w:r>
          <w:r>
            <w:fldChar w:fldCharType="separate"/>
          </w:r>
          <w:r>
            <w:rPr>
              <w:rStyle w:val="26"/>
              <w:rFonts w:hint="eastAsia" w:ascii="仿宋_GB2312" w:hAnsi="方正小标宋简体" w:eastAsia="仿宋_GB2312" w:cs="方正小标宋简体"/>
              <w:b/>
              <w:bCs/>
              <w:kern w:val="44"/>
              <w:sz w:val="28"/>
              <w:szCs w:val="28"/>
            </w:rPr>
            <w:t>第一章  比选公告</w:t>
          </w:r>
          <w:r>
            <w:rPr>
              <w:rFonts w:hint="eastAsia" w:ascii="仿宋_GB2312" w:eastAsia="仿宋_GB2312"/>
              <w:b/>
              <w:sz w:val="28"/>
              <w:szCs w:val="28"/>
            </w:rPr>
            <w:tab/>
          </w:r>
          <w:r>
            <w:rPr>
              <w:rFonts w:hint="eastAsia" w:ascii="仿宋_GB2312" w:eastAsia="仿宋_GB2312"/>
              <w:b/>
              <w:sz w:val="28"/>
              <w:szCs w:val="28"/>
            </w:rPr>
            <w:fldChar w:fldCharType="begin"/>
          </w:r>
          <w:r>
            <w:rPr>
              <w:rFonts w:hint="eastAsia" w:ascii="仿宋_GB2312" w:eastAsia="仿宋_GB2312"/>
              <w:b/>
              <w:sz w:val="28"/>
              <w:szCs w:val="28"/>
            </w:rPr>
            <w:instrText xml:space="preserve"> PAGEREF _Toc96874880 \h </w:instrText>
          </w:r>
          <w:r>
            <w:rPr>
              <w:rFonts w:hint="eastAsia" w:ascii="仿宋_GB2312" w:eastAsia="仿宋_GB2312"/>
              <w:b/>
              <w:sz w:val="28"/>
              <w:szCs w:val="28"/>
            </w:rPr>
            <w:fldChar w:fldCharType="separate"/>
          </w:r>
          <w:r>
            <w:rPr>
              <w:rFonts w:ascii="仿宋_GB2312" w:eastAsia="仿宋_GB2312"/>
              <w:b/>
              <w:sz w:val="28"/>
              <w:szCs w:val="28"/>
            </w:rPr>
            <w:t>1</w:t>
          </w:r>
          <w:r>
            <w:rPr>
              <w:rFonts w:hint="eastAsia" w:ascii="仿宋_GB2312" w:eastAsia="仿宋_GB2312"/>
              <w:b/>
              <w:sz w:val="28"/>
              <w:szCs w:val="28"/>
            </w:rPr>
            <w:fldChar w:fldCharType="end"/>
          </w:r>
          <w:r>
            <w:rPr>
              <w:rFonts w:hint="eastAsia" w:ascii="仿宋_GB2312" w:eastAsia="仿宋_GB2312"/>
              <w:b/>
              <w:sz w:val="28"/>
              <w:szCs w:val="28"/>
            </w:rPr>
            <w:fldChar w:fldCharType="end"/>
          </w:r>
        </w:p>
        <w:p>
          <w:pPr>
            <w:pStyle w:val="15"/>
            <w:tabs>
              <w:tab w:val="right" w:leader="dot" w:pos="8296"/>
            </w:tabs>
            <w:spacing w:line="480" w:lineRule="auto"/>
            <w:rPr>
              <w:rFonts w:ascii="仿宋_GB2312" w:eastAsia="仿宋_GB2312" w:hAnsiTheme="minorHAnsi"/>
              <w:b/>
              <w:kern w:val="2"/>
              <w:sz w:val="28"/>
              <w:szCs w:val="28"/>
            </w:rPr>
          </w:pPr>
          <w:r>
            <w:fldChar w:fldCharType="begin"/>
          </w:r>
          <w:r>
            <w:instrText xml:space="preserve"> HYPERLINK \l "_Toc96874881" </w:instrText>
          </w:r>
          <w:r>
            <w:fldChar w:fldCharType="separate"/>
          </w:r>
          <w:r>
            <w:rPr>
              <w:rStyle w:val="26"/>
              <w:rFonts w:hint="eastAsia" w:ascii="仿宋_GB2312" w:hAnsi="方正小标宋简体" w:eastAsia="仿宋_GB2312" w:cs="方正小标宋简体"/>
              <w:b/>
              <w:bCs/>
              <w:kern w:val="44"/>
              <w:sz w:val="28"/>
              <w:szCs w:val="28"/>
            </w:rPr>
            <w:t>第二章  比选申请人须知</w:t>
          </w:r>
          <w:r>
            <w:rPr>
              <w:rFonts w:hint="eastAsia" w:ascii="仿宋_GB2312" w:eastAsia="仿宋_GB2312"/>
              <w:b/>
              <w:sz w:val="28"/>
              <w:szCs w:val="28"/>
            </w:rPr>
            <w:tab/>
          </w:r>
          <w:r>
            <w:rPr>
              <w:rFonts w:hint="eastAsia" w:ascii="仿宋_GB2312" w:eastAsia="仿宋_GB2312"/>
              <w:b/>
              <w:sz w:val="28"/>
              <w:szCs w:val="28"/>
            </w:rPr>
            <w:fldChar w:fldCharType="begin"/>
          </w:r>
          <w:r>
            <w:rPr>
              <w:rFonts w:hint="eastAsia" w:ascii="仿宋_GB2312" w:eastAsia="仿宋_GB2312"/>
              <w:b/>
              <w:sz w:val="28"/>
              <w:szCs w:val="28"/>
            </w:rPr>
            <w:instrText xml:space="preserve"> PAGEREF _Toc96874881 \h </w:instrText>
          </w:r>
          <w:r>
            <w:rPr>
              <w:rFonts w:hint="eastAsia" w:ascii="仿宋_GB2312" w:eastAsia="仿宋_GB2312"/>
              <w:b/>
              <w:sz w:val="28"/>
              <w:szCs w:val="28"/>
            </w:rPr>
            <w:fldChar w:fldCharType="separate"/>
          </w:r>
          <w:r>
            <w:rPr>
              <w:rFonts w:ascii="仿宋_GB2312" w:eastAsia="仿宋_GB2312"/>
              <w:b/>
              <w:sz w:val="28"/>
              <w:szCs w:val="28"/>
            </w:rPr>
            <w:t>5</w:t>
          </w:r>
          <w:r>
            <w:rPr>
              <w:rFonts w:hint="eastAsia" w:ascii="仿宋_GB2312" w:eastAsia="仿宋_GB2312"/>
              <w:b/>
              <w:sz w:val="28"/>
              <w:szCs w:val="28"/>
            </w:rPr>
            <w:fldChar w:fldCharType="end"/>
          </w:r>
          <w:r>
            <w:rPr>
              <w:rFonts w:hint="eastAsia" w:ascii="仿宋_GB2312" w:eastAsia="仿宋_GB2312"/>
              <w:b/>
              <w:sz w:val="28"/>
              <w:szCs w:val="28"/>
            </w:rPr>
            <w:fldChar w:fldCharType="end"/>
          </w:r>
        </w:p>
        <w:p>
          <w:pPr>
            <w:pStyle w:val="15"/>
            <w:tabs>
              <w:tab w:val="right" w:leader="dot" w:pos="8296"/>
            </w:tabs>
            <w:spacing w:line="480" w:lineRule="auto"/>
            <w:rPr>
              <w:rFonts w:ascii="仿宋_GB2312" w:eastAsia="仿宋_GB2312" w:hAnsiTheme="minorHAnsi"/>
              <w:b/>
              <w:kern w:val="2"/>
              <w:sz w:val="28"/>
              <w:szCs w:val="28"/>
            </w:rPr>
          </w:pPr>
          <w:r>
            <w:fldChar w:fldCharType="begin"/>
          </w:r>
          <w:r>
            <w:instrText xml:space="preserve"> HYPERLINK \l "_Toc96874882" </w:instrText>
          </w:r>
          <w:r>
            <w:fldChar w:fldCharType="separate"/>
          </w:r>
          <w:r>
            <w:rPr>
              <w:rStyle w:val="26"/>
              <w:rFonts w:hint="eastAsia" w:ascii="仿宋_GB2312" w:hAnsi="方正小标宋简体" w:eastAsia="仿宋_GB2312" w:cs="方正小标宋简体"/>
              <w:b/>
              <w:bCs/>
              <w:kern w:val="44"/>
              <w:sz w:val="28"/>
              <w:szCs w:val="28"/>
            </w:rPr>
            <w:t>第三章  比选人要求</w:t>
          </w:r>
          <w:r>
            <w:rPr>
              <w:rFonts w:hint="eastAsia" w:ascii="仿宋_GB2312" w:eastAsia="仿宋_GB2312"/>
              <w:b/>
              <w:sz w:val="28"/>
              <w:szCs w:val="28"/>
            </w:rPr>
            <w:tab/>
          </w:r>
          <w:r>
            <w:rPr>
              <w:rFonts w:hint="eastAsia" w:ascii="仿宋_GB2312" w:eastAsia="仿宋_GB2312"/>
              <w:b/>
              <w:sz w:val="28"/>
              <w:szCs w:val="28"/>
            </w:rPr>
            <w:fldChar w:fldCharType="begin"/>
          </w:r>
          <w:r>
            <w:rPr>
              <w:rFonts w:hint="eastAsia" w:ascii="仿宋_GB2312" w:eastAsia="仿宋_GB2312"/>
              <w:b/>
              <w:sz w:val="28"/>
              <w:szCs w:val="28"/>
            </w:rPr>
            <w:instrText xml:space="preserve"> PAGEREF _Toc96874882 \h </w:instrText>
          </w:r>
          <w:r>
            <w:rPr>
              <w:rFonts w:hint="eastAsia" w:ascii="仿宋_GB2312" w:eastAsia="仿宋_GB2312"/>
              <w:b/>
              <w:sz w:val="28"/>
              <w:szCs w:val="28"/>
            </w:rPr>
            <w:fldChar w:fldCharType="separate"/>
          </w:r>
          <w:r>
            <w:rPr>
              <w:rFonts w:ascii="仿宋_GB2312" w:eastAsia="仿宋_GB2312"/>
              <w:b/>
              <w:sz w:val="28"/>
              <w:szCs w:val="28"/>
            </w:rPr>
            <w:t>9</w:t>
          </w:r>
          <w:r>
            <w:rPr>
              <w:rFonts w:hint="eastAsia" w:ascii="仿宋_GB2312" w:eastAsia="仿宋_GB2312"/>
              <w:b/>
              <w:sz w:val="28"/>
              <w:szCs w:val="28"/>
            </w:rPr>
            <w:fldChar w:fldCharType="end"/>
          </w:r>
          <w:r>
            <w:rPr>
              <w:rFonts w:hint="eastAsia" w:ascii="仿宋_GB2312" w:eastAsia="仿宋_GB2312"/>
              <w:b/>
              <w:sz w:val="28"/>
              <w:szCs w:val="28"/>
            </w:rPr>
            <w:fldChar w:fldCharType="end"/>
          </w:r>
        </w:p>
        <w:p>
          <w:pPr>
            <w:pStyle w:val="15"/>
            <w:tabs>
              <w:tab w:val="right" w:leader="dot" w:pos="8296"/>
            </w:tabs>
            <w:spacing w:line="480" w:lineRule="auto"/>
            <w:rPr>
              <w:rFonts w:ascii="仿宋_GB2312" w:eastAsia="仿宋_GB2312" w:hAnsiTheme="minorHAnsi"/>
              <w:b/>
              <w:kern w:val="2"/>
              <w:sz w:val="28"/>
              <w:szCs w:val="28"/>
            </w:rPr>
          </w:pPr>
          <w:r>
            <w:fldChar w:fldCharType="begin"/>
          </w:r>
          <w:r>
            <w:instrText xml:space="preserve"> HYPERLINK \l "_Toc96874883" </w:instrText>
          </w:r>
          <w:r>
            <w:fldChar w:fldCharType="separate"/>
          </w:r>
          <w:r>
            <w:rPr>
              <w:rStyle w:val="26"/>
              <w:rFonts w:hint="eastAsia" w:ascii="仿宋_GB2312" w:hAnsi="方正小标宋简体" w:eastAsia="仿宋_GB2312" w:cs="方正小标宋简体"/>
              <w:b/>
              <w:bCs/>
              <w:kern w:val="44"/>
              <w:sz w:val="28"/>
              <w:szCs w:val="28"/>
            </w:rPr>
            <w:t>第四章  比选申请文件的格式</w:t>
          </w:r>
          <w:r>
            <w:rPr>
              <w:rFonts w:hint="eastAsia" w:ascii="仿宋_GB2312" w:eastAsia="仿宋_GB2312"/>
              <w:b/>
              <w:sz w:val="28"/>
              <w:szCs w:val="28"/>
            </w:rPr>
            <w:tab/>
          </w:r>
          <w:r>
            <w:rPr>
              <w:rFonts w:hint="eastAsia" w:ascii="仿宋_GB2312" w:eastAsia="仿宋_GB2312"/>
              <w:b/>
              <w:sz w:val="28"/>
              <w:szCs w:val="28"/>
            </w:rPr>
            <w:fldChar w:fldCharType="begin"/>
          </w:r>
          <w:r>
            <w:rPr>
              <w:rFonts w:hint="eastAsia" w:ascii="仿宋_GB2312" w:eastAsia="仿宋_GB2312"/>
              <w:b/>
              <w:sz w:val="28"/>
              <w:szCs w:val="28"/>
            </w:rPr>
            <w:instrText xml:space="preserve"> PAGEREF _Toc96874883 \h </w:instrText>
          </w:r>
          <w:r>
            <w:rPr>
              <w:rFonts w:hint="eastAsia" w:ascii="仿宋_GB2312" w:eastAsia="仿宋_GB2312"/>
              <w:b/>
              <w:sz w:val="28"/>
              <w:szCs w:val="28"/>
            </w:rPr>
            <w:fldChar w:fldCharType="separate"/>
          </w:r>
          <w:r>
            <w:rPr>
              <w:rFonts w:ascii="仿宋_GB2312" w:eastAsia="仿宋_GB2312"/>
              <w:b/>
              <w:sz w:val="28"/>
              <w:szCs w:val="28"/>
            </w:rPr>
            <w:t>13</w:t>
          </w:r>
          <w:r>
            <w:rPr>
              <w:rFonts w:hint="eastAsia" w:ascii="仿宋_GB2312" w:eastAsia="仿宋_GB2312"/>
              <w:b/>
              <w:sz w:val="28"/>
              <w:szCs w:val="28"/>
            </w:rPr>
            <w:fldChar w:fldCharType="end"/>
          </w:r>
          <w:r>
            <w:rPr>
              <w:rFonts w:hint="eastAsia" w:ascii="仿宋_GB2312" w:eastAsia="仿宋_GB2312"/>
              <w:b/>
              <w:sz w:val="28"/>
              <w:szCs w:val="28"/>
            </w:rPr>
            <w:fldChar w:fldCharType="end"/>
          </w:r>
        </w:p>
        <w:p>
          <w:pPr>
            <w:pStyle w:val="15"/>
            <w:tabs>
              <w:tab w:val="right" w:leader="dot" w:pos="8296"/>
            </w:tabs>
            <w:spacing w:line="480" w:lineRule="auto"/>
            <w:rPr>
              <w:rFonts w:ascii="仿宋_GB2312" w:eastAsia="仿宋_GB2312" w:hAnsiTheme="minorHAnsi"/>
              <w:b/>
              <w:kern w:val="2"/>
              <w:sz w:val="28"/>
              <w:szCs w:val="28"/>
            </w:rPr>
          </w:pPr>
          <w:r>
            <w:fldChar w:fldCharType="begin"/>
          </w:r>
          <w:r>
            <w:instrText xml:space="preserve"> HYPERLINK \l "_Toc96874918" </w:instrText>
          </w:r>
          <w:r>
            <w:fldChar w:fldCharType="separate"/>
          </w:r>
          <w:r>
            <w:rPr>
              <w:rStyle w:val="26"/>
              <w:rFonts w:hint="eastAsia" w:ascii="仿宋_GB2312" w:hAnsi="方正小标宋简体" w:eastAsia="仿宋_GB2312" w:cs="方正小标宋简体"/>
              <w:b/>
              <w:bCs/>
              <w:kern w:val="44"/>
              <w:sz w:val="28"/>
              <w:szCs w:val="28"/>
            </w:rPr>
            <w:t>第五章  评审办法</w:t>
          </w:r>
          <w:r>
            <w:rPr>
              <w:rFonts w:hint="eastAsia" w:ascii="仿宋_GB2312" w:eastAsia="仿宋_GB2312"/>
              <w:b/>
              <w:sz w:val="28"/>
              <w:szCs w:val="28"/>
            </w:rPr>
            <w:tab/>
          </w:r>
          <w:r>
            <w:rPr>
              <w:rFonts w:hint="eastAsia" w:ascii="仿宋_GB2312" w:eastAsia="仿宋_GB2312"/>
              <w:b/>
              <w:sz w:val="28"/>
              <w:szCs w:val="28"/>
            </w:rPr>
            <w:fldChar w:fldCharType="begin"/>
          </w:r>
          <w:r>
            <w:rPr>
              <w:rFonts w:hint="eastAsia" w:ascii="仿宋_GB2312" w:eastAsia="仿宋_GB2312"/>
              <w:b/>
              <w:sz w:val="28"/>
              <w:szCs w:val="28"/>
            </w:rPr>
            <w:instrText xml:space="preserve"> PAGEREF _Toc96874918 \h </w:instrText>
          </w:r>
          <w:r>
            <w:rPr>
              <w:rFonts w:hint="eastAsia" w:ascii="仿宋_GB2312" w:eastAsia="仿宋_GB2312"/>
              <w:b/>
              <w:sz w:val="28"/>
              <w:szCs w:val="28"/>
            </w:rPr>
            <w:fldChar w:fldCharType="separate"/>
          </w:r>
          <w:r>
            <w:rPr>
              <w:rFonts w:ascii="仿宋_GB2312" w:eastAsia="仿宋_GB2312"/>
              <w:b/>
              <w:sz w:val="28"/>
              <w:szCs w:val="28"/>
            </w:rPr>
            <w:t>29</w:t>
          </w:r>
          <w:r>
            <w:rPr>
              <w:rFonts w:hint="eastAsia" w:ascii="仿宋_GB2312" w:eastAsia="仿宋_GB2312"/>
              <w:b/>
              <w:sz w:val="28"/>
              <w:szCs w:val="28"/>
            </w:rPr>
            <w:fldChar w:fldCharType="end"/>
          </w:r>
          <w:r>
            <w:rPr>
              <w:rFonts w:hint="eastAsia" w:ascii="仿宋_GB2312" w:eastAsia="仿宋_GB2312"/>
              <w:b/>
              <w:sz w:val="28"/>
              <w:szCs w:val="28"/>
            </w:rPr>
            <w:fldChar w:fldCharType="end"/>
          </w:r>
        </w:p>
        <w:p>
          <w:pPr>
            <w:pStyle w:val="15"/>
            <w:tabs>
              <w:tab w:val="right" w:leader="dot" w:pos="8296"/>
            </w:tabs>
            <w:spacing w:line="480" w:lineRule="auto"/>
            <w:rPr>
              <w:rFonts w:ascii="仿宋_GB2312" w:eastAsia="仿宋_GB2312" w:hAnsiTheme="minorHAnsi"/>
              <w:b/>
              <w:kern w:val="2"/>
              <w:sz w:val="28"/>
              <w:szCs w:val="28"/>
            </w:rPr>
          </w:pPr>
          <w:r>
            <w:fldChar w:fldCharType="begin"/>
          </w:r>
          <w:r>
            <w:instrText xml:space="preserve"> HYPERLINK \l "_Toc96874919" </w:instrText>
          </w:r>
          <w:r>
            <w:fldChar w:fldCharType="separate"/>
          </w:r>
          <w:r>
            <w:rPr>
              <w:rStyle w:val="26"/>
              <w:rFonts w:hint="eastAsia" w:ascii="仿宋_GB2312" w:hAnsi="方正小标宋简体" w:eastAsia="仿宋_GB2312" w:cs="方正小标宋简体"/>
              <w:b/>
              <w:bCs/>
              <w:kern w:val="44"/>
              <w:sz w:val="28"/>
              <w:szCs w:val="28"/>
            </w:rPr>
            <w:t>第六章  合同模板</w:t>
          </w:r>
          <w:r>
            <w:rPr>
              <w:rFonts w:hint="eastAsia" w:ascii="仿宋_GB2312" w:eastAsia="仿宋_GB2312"/>
              <w:b/>
              <w:sz w:val="28"/>
              <w:szCs w:val="28"/>
            </w:rPr>
            <w:tab/>
          </w:r>
          <w:r>
            <w:rPr>
              <w:rFonts w:hint="eastAsia" w:ascii="仿宋_GB2312" w:eastAsia="仿宋_GB2312"/>
              <w:b/>
              <w:sz w:val="28"/>
              <w:szCs w:val="28"/>
            </w:rPr>
            <w:fldChar w:fldCharType="begin"/>
          </w:r>
          <w:r>
            <w:rPr>
              <w:rFonts w:hint="eastAsia" w:ascii="仿宋_GB2312" w:eastAsia="仿宋_GB2312"/>
              <w:b/>
              <w:sz w:val="28"/>
              <w:szCs w:val="28"/>
            </w:rPr>
            <w:instrText xml:space="preserve"> PAGEREF _Toc96874919 \h </w:instrText>
          </w:r>
          <w:r>
            <w:rPr>
              <w:rFonts w:hint="eastAsia" w:ascii="仿宋_GB2312" w:eastAsia="仿宋_GB2312"/>
              <w:b/>
              <w:sz w:val="28"/>
              <w:szCs w:val="28"/>
            </w:rPr>
            <w:fldChar w:fldCharType="separate"/>
          </w:r>
          <w:r>
            <w:rPr>
              <w:rFonts w:ascii="仿宋_GB2312" w:eastAsia="仿宋_GB2312"/>
              <w:b/>
              <w:sz w:val="28"/>
              <w:szCs w:val="28"/>
            </w:rPr>
            <w:t>35</w:t>
          </w:r>
          <w:r>
            <w:rPr>
              <w:rFonts w:hint="eastAsia" w:ascii="仿宋_GB2312" w:eastAsia="仿宋_GB2312"/>
              <w:b/>
              <w:sz w:val="28"/>
              <w:szCs w:val="28"/>
            </w:rPr>
            <w:fldChar w:fldCharType="end"/>
          </w:r>
          <w:r>
            <w:rPr>
              <w:rFonts w:hint="eastAsia" w:ascii="仿宋_GB2312" w:eastAsia="仿宋_GB2312"/>
              <w:b/>
              <w:sz w:val="28"/>
              <w:szCs w:val="28"/>
            </w:rPr>
            <w:fldChar w:fldCharType="end"/>
          </w:r>
        </w:p>
        <w:p>
          <w:r>
            <w:rPr>
              <w:rFonts w:hint="eastAsia" w:ascii="仿宋_GB2312" w:eastAsia="仿宋_GB2312"/>
              <w:b/>
              <w:bCs/>
              <w:sz w:val="28"/>
              <w:szCs w:val="28"/>
              <w:lang w:val="zh-CN"/>
            </w:rPr>
            <w:fldChar w:fldCharType="end"/>
          </w:r>
        </w:p>
      </w:sdtContent>
    </w:sdt>
    <w:bookmarkEnd w:id="0"/>
    <w:p>
      <w:pPr>
        <w:adjustRightInd/>
        <w:snapToGrid/>
        <w:spacing w:after="0"/>
        <w:rPr>
          <w:rFonts w:ascii="方正小标宋简体" w:hAnsi="方正小标宋简体" w:eastAsia="方正小标宋简体" w:cs="方正小标宋简体"/>
          <w:sz w:val="32"/>
          <w:szCs w:val="32"/>
        </w:rPr>
        <w:sectPr>
          <w:pgSz w:w="11906" w:h="16838"/>
          <w:pgMar w:top="2098" w:right="1474" w:bottom="1984" w:left="1587" w:header="851" w:footer="992" w:gutter="0"/>
          <w:pgNumType w:start="1"/>
          <w:cols w:space="425" w:num="1"/>
          <w:titlePg/>
          <w:rtlGutter w:val="0"/>
          <w:docGrid w:type="lines" w:linePitch="312" w:charSpace="0"/>
        </w:sectPr>
      </w:pPr>
    </w:p>
    <w:p>
      <w:pPr>
        <w:spacing w:after="0" w:line="500" w:lineRule="exact"/>
        <w:jc w:val="center"/>
        <w:outlineLvl w:val="0"/>
        <w:rPr>
          <w:rFonts w:ascii="方正小标宋简体" w:hAnsi="方正小标宋简体" w:eastAsia="方正小标宋简体" w:cs="方正小标宋简体"/>
          <w:bCs/>
          <w:kern w:val="44"/>
          <w:sz w:val="32"/>
          <w:szCs w:val="32"/>
        </w:rPr>
      </w:pPr>
      <w:bookmarkStart w:id="1" w:name="_Toc96874880"/>
      <w:r>
        <w:rPr>
          <w:rFonts w:hint="eastAsia" w:ascii="方正小标宋简体" w:hAnsi="方正小标宋简体" w:eastAsia="方正小标宋简体" w:cs="方正小标宋简体"/>
          <w:bCs/>
          <w:kern w:val="44"/>
          <w:sz w:val="44"/>
          <w:szCs w:val="44"/>
        </w:rPr>
        <w:t xml:space="preserve">第一章 </w:t>
      </w:r>
      <w:r>
        <w:rPr>
          <w:rFonts w:ascii="方正小标宋简体" w:hAnsi="方正小标宋简体" w:eastAsia="方正小标宋简体" w:cs="方正小标宋简体"/>
          <w:bCs/>
          <w:kern w:val="44"/>
          <w:sz w:val="44"/>
          <w:szCs w:val="44"/>
        </w:rPr>
        <w:t xml:space="preserve"> </w:t>
      </w:r>
      <w:r>
        <w:rPr>
          <w:rFonts w:hint="eastAsia" w:ascii="方正小标宋简体" w:hAnsi="方正小标宋简体" w:eastAsia="方正小标宋简体" w:cs="方正小标宋简体"/>
          <w:bCs/>
          <w:kern w:val="44"/>
          <w:sz w:val="44"/>
          <w:szCs w:val="44"/>
        </w:rPr>
        <w:t>比选公告</w:t>
      </w:r>
      <w:bookmarkEnd w:id="1"/>
    </w:p>
    <w:p>
      <w:pPr>
        <w:pStyle w:val="29"/>
      </w:pP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四川蜀道铁路运营管理集团有限责任公司（以下简称“蜀道铁路运营集团”或“公司”）拟选聘税务顾问服务，作为常年税务顾问服务，承担公司日常税务顾问服务工作。</w:t>
      </w:r>
      <w:bookmarkStart w:id="2" w:name="_Toc7177174"/>
      <w:r>
        <w:rPr>
          <w:rFonts w:hint="eastAsia" w:ascii="仿宋_GB2312" w:hAnsi="仿宋_GB2312" w:eastAsia="仿宋_GB2312" w:cs="仿宋_GB2312"/>
          <w:sz w:val="32"/>
          <w:szCs w:val="32"/>
        </w:rPr>
        <w:t>依据《四川省国资委及所出资企业中介机构选聘管理试行办法》（川国资委办[2019]9号）规定，由蜀道铁路运营集团作为比选人，采取公开比选方式面向社会选择法律服务机构。</w:t>
      </w:r>
    </w:p>
    <w:bookmarkEnd w:id="2"/>
    <w:p>
      <w:pPr>
        <w:numPr>
          <w:ilvl w:val="0"/>
          <w:numId w:val="1"/>
        </w:numPr>
        <w:spacing w:after="0" w:line="500" w:lineRule="exact"/>
        <w:ind w:firstLine="640" w:firstLineChars="200"/>
        <w:rPr>
          <w:rFonts w:ascii="黑体" w:hAnsi="黑体" w:eastAsia="黑体" w:cs="黑体"/>
          <w:sz w:val="32"/>
          <w:szCs w:val="32"/>
        </w:rPr>
      </w:pPr>
      <w:bookmarkStart w:id="3" w:name="_Toc7177175"/>
      <w:r>
        <w:rPr>
          <w:rFonts w:hint="eastAsia" w:ascii="黑体" w:hAnsi="黑体" w:eastAsia="黑体" w:cs="黑体"/>
          <w:sz w:val="32"/>
          <w:szCs w:val="32"/>
        </w:rPr>
        <w:t>公司简介及项目概况</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川蜀道铁路运营管理集团有限责任公司（以下简称“蜀道铁路运营集团”或“公司”），是蜀道投资集团有限责任公司的全资直属子企业，以专业化整合方式组建，于2021年12月29日揭牌成立，注册资本10亿元。蜀道铁路运营集团作为四川省唯一地方铁路特许经营企业，致力于打造蜀道铁路运营管理专业化平台，充分发挥合资铁路平台优势，积极布局铁路物流、沿线资源开发等多元经营产业，深挖产业链价值，打造新的利润增长极，有效支撑蜀道集团铁路产业高质量发展。</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为提高公司依法治企的能力，并在日常法律事务、重大投融资等领域发挥法律的护航作用，预防法律风险，蜀道铁路运营集团决定通过公开比选的方式，择优选择常年税务顾问咨询单位1家。</w:t>
      </w:r>
    </w:p>
    <w:bookmarkEnd w:id="3"/>
    <w:p>
      <w:pPr>
        <w:numPr>
          <w:ilvl w:val="0"/>
          <w:numId w:val="1"/>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比选范围及期限</w:t>
      </w:r>
    </w:p>
    <w:p>
      <w:pPr>
        <w:spacing w:after="0" w:line="500"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（一）比选范围</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四川蜀道铁路运营管理集团有限责任公司税务顾问服务项目（项目名称）的工作服务范围包括:</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为甲方</w:t>
      </w:r>
      <w:r>
        <w:rPr>
          <w:rFonts w:hint="eastAsia" w:ascii="仿宋_GB2312" w:hAnsi="仿宋_GB2312" w:eastAsia="仿宋_GB2312" w:cs="仿宋_GB2312"/>
          <w:sz w:val="32"/>
          <w:szCs w:val="32"/>
          <w:lang w:val="en-US" w:eastAsia="zh-CN"/>
        </w:rPr>
        <w:t>蜀道铁路运营集团本部及所属公司</w:t>
      </w:r>
      <w:r>
        <w:rPr>
          <w:rFonts w:hint="eastAsia" w:ascii="仿宋_GB2312" w:hAnsi="仿宋_GB2312" w:eastAsia="仿宋_GB2312" w:cs="仿宋_GB2312"/>
          <w:sz w:val="32"/>
          <w:szCs w:val="32"/>
        </w:rPr>
        <w:t>提供税收管理理念、思路和方法的支持；</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协助甲方</w:t>
      </w:r>
      <w:r>
        <w:rPr>
          <w:rFonts w:hint="eastAsia" w:ascii="仿宋_GB2312" w:hAnsi="仿宋_GB2312" w:eastAsia="仿宋_GB2312" w:cs="仿宋_GB2312"/>
          <w:sz w:val="32"/>
          <w:szCs w:val="32"/>
          <w:lang w:val="en-US" w:eastAsia="zh-CN"/>
        </w:rPr>
        <w:t>蜀道铁路运营集团本部及所属公司</w:t>
      </w:r>
      <w:r>
        <w:rPr>
          <w:rFonts w:hint="eastAsia" w:ascii="仿宋_GB2312" w:hAnsi="仿宋_GB2312" w:eastAsia="仿宋_GB2312" w:cs="仿宋_GB2312"/>
          <w:sz w:val="32"/>
          <w:szCs w:val="32"/>
        </w:rPr>
        <w:t>财务做好税收风险管理，提升应对能力。乙方每季度派人到现场进行税收检查并出具报告；</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协助甲方</w:t>
      </w:r>
      <w:r>
        <w:rPr>
          <w:rFonts w:hint="eastAsia" w:ascii="仿宋_GB2312" w:hAnsi="仿宋_GB2312" w:eastAsia="仿宋_GB2312" w:cs="仿宋_GB2312"/>
          <w:sz w:val="32"/>
          <w:szCs w:val="32"/>
          <w:lang w:val="en-US" w:eastAsia="zh-CN"/>
        </w:rPr>
        <w:t>蜀道铁路运营集团本部及所属公司</w:t>
      </w:r>
      <w:r>
        <w:rPr>
          <w:rFonts w:hint="eastAsia" w:ascii="仿宋_GB2312" w:hAnsi="仿宋_GB2312" w:eastAsia="仿宋_GB2312" w:cs="仿宋_GB2312"/>
          <w:sz w:val="32"/>
          <w:szCs w:val="32"/>
        </w:rPr>
        <w:t>正确运用国家产业政策和财税政策，维护好税收合法权益。</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4.协助甲方整理税务档案。</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（二）服务期限</w:t>
      </w:r>
    </w:p>
    <w:p>
      <w:pPr>
        <w:spacing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自合同签订之日起算，合同期限为</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一年一签，合同到期经甲方考核，考核过关可续签</w:t>
      </w:r>
      <w:r>
        <w:rPr>
          <w:rFonts w:hint="eastAsia" w:ascii="仿宋_GB2312" w:hAnsi="仿宋_GB2312" w:eastAsia="仿宋_GB2312" w:cs="仿宋_GB2312"/>
          <w:sz w:val="32"/>
          <w:szCs w:val="32"/>
        </w:rPr>
        <w:t>。</w:t>
      </w:r>
    </w:p>
    <w:p>
      <w:pPr>
        <w:spacing w:after="0" w:line="500"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（三）服务方式</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服务单位须按照服务内容工作要求，为公司选派熟悉业务，并具有丰富经验的专业团队提供税务顾问服务。</w:t>
      </w:r>
    </w:p>
    <w:p>
      <w:pPr>
        <w:numPr>
          <w:ilvl w:val="0"/>
          <w:numId w:val="1"/>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资格要求</w:t>
      </w:r>
    </w:p>
    <w:p>
      <w:pPr>
        <w:spacing w:after="0" w:line="500"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（一）税务师事务所</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具有承担民事责任的能力，持有合法有效营业执照及国家法律法规要求的税务师事务所等级证书A级（或以上）、税务师事务所行政登记证书。参选税务师事务所应充分理解并响应比选人对服务工作时效性要求。</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资料要求：税务师事务所行政登记证书、税务师事务所等级证书。</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近三年以来，未受过行政处罚、行业惩戒或有效投诉，不存在下列情形之一：弄虚作假、恶意串通、营私舞弊等严重不诚信行为的；分别接受利益相对方委托，就同一事项提供有利益冲突的中介服务的；出具虚假或重大失实的业务报告的；违反中介服务合同约定给委托方造成重大损失的。</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资料要求：税务师事务所承诺函。 </w:t>
      </w:r>
    </w:p>
    <w:p>
      <w:pPr>
        <w:spacing w:after="0" w:line="500"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（二）服务团队</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遵守宪法和法律，具有良好的职业品德、纪律意识，选派的项目负责人须具有有效的注册税务师执业资格证书。</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资料要求：注册税务师执业资格证书。</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项目负责人须具有</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年及以上职业年限。</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资料要求：注册税务师执业资格证书。</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年1月1日至今至少完成过</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个税务咨询项目；</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资料要求：业绩应附体现上述要求的合同复印件并加盖公章。</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本次比选不接受联合体申请。</w:t>
      </w:r>
    </w:p>
    <w:p>
      <w:pPr>
        <w:numPr>
          <w:ilvl w:val="0"/>
          <w:numId w:val="1"/>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比选文件的获取</w:t>
      </w:r>
    </w:p>
    <w:p>
      <w:pPr>
        <w:spacing w:after="0" w:line="500" w:lineRule="exact"/>
        <w:ind w:firstLine="640" w:firstLineChars="200"/>
        <w:jc w:val="both"/>
        <w:rPr>
          <w:rFonts w:ascii="仿宋_GB2312" w:hAnsi="仿宋_GB2312" w:eastAsia="仿宋_GB2312" w:cs="仿宋_GB2312"/>
          <w:sz w:val="28"/>
          <w:szCs w:val="28"/>
        </w:rPr>
      </w:pPr>
      <w:r>
        <w:rPr>
          <w:rFonts w:hint="eastAsia" w:ascii="仿宋_GB2312" w:hAnsi="仿宋_GB2312" w:eastAsia="仿宋_GB2312" w:cs="仿宋_GB2312"/>
          <w:sz w:val="32"/>
          <w:szCs w:val="32"/>
        </w:rPr>
        <w:t>（一）凡有意参加比选的比选申请人，请于202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日（上午9:00--12:00，下午14:00--17:30），由经办人携带</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1 \* GB3</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授权书或单位介绍信原件、</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2 \* GB3</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经办人身份证原件及复印件、③比选申请人营业执照复印件（所有复印件均加盖单位鲜章）到成都市高新区天府一街535号两江国际A座</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层免费领取比选文件。报名领取比选文件后，不能转让比选资格</w:t>
      </w:r>
      <w:r>
        <w:rPr>
          <w:rFonts w:hint="eastAsia" w:ascii="仿宋_GB2312" w:hAnsi="仿宋_GB2312" w:eastAsia="仿宋_GB2312" w:cs="仿宋_GB2312"/>
          <w:sz w:val="28"/>
          <w:szCs w:val="28"/>
        </w:rPr>
        <w:t>。</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（二）比选文件有关通知（若有）由比选申请人在</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"https://www.sdtlyyjt.com/"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四川蜀道铁路运营管理集团有限责任公司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https://www.sdtlyyjt.com)</w:t>
      </w:r>
      <w:r>
        <w:rPr>
          <w:rFonts w:hint="eastAsia" w:ascii="仿宋_GB2312" w:hAnsi="仿宋_GB2312" w:eastAsia="仿宋_GB2312" w:cs="仿宋_GB2312"/>
          <w:sz w:val="32"/>
          <w:szCs w:val="32"/>
        </w:rPr>
        <w:t>自行查阅与下载。</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（三）比选申请人应在报价期间适时关注上述网站，并及时下载比选相关内容，比选人不再另行通知。如有问题或疑问，应及时与比选人联系，因未能及时下载通知书（如有）的相关责任由比选申请人自行承担。</w:t>
      </w:r>
    </w:p>
    <w:p>
      <w:pPr>
        <w:spacing w:after="0" w:line="500" w:lineRule="exact"/>
        <w:ind w:firstLine="640" w:firstLineChars="200"/>
        <w:jc w:val="both"/>
        <w:rPr>
          <w:rFonts w:ascii="仿宋_GB2312" w:hAnsi="仿宋_GB2312" w:eastAsia="仿宋_GB2312" w:cs="仿宋_GB2312"/>
          <w:sz w:val="28"/>
          <w:szCs w:val="28"/>
        </w:rPr>
      </w:pPr>
      <w:r>
        <w:rPr>
          <w:rFonts w:hint="eastAsia" w:ascii="仿宋_GB2312" w:hAnsi="仿宋_GB2312" w:eastAsia="仿宋_GB2312" w:cs="仿宋_GB2312"/>
          <w:sz w:val="32"/>
          <w:szCs w:val="32"/>
        </w:rPr>
        <w:t>（四）若因疫情等其他政策原因，造成比选不能开展、延期开展或者采用其他线上方式开展，公司将及时在官网公布，并不承担任何责任。</w:t>
      </w:r>
    </w:p>
    <w:p>
      <w:pPr>
        <w:numPr>
          <w:ilvl w:val="0"/>
          <w:numId w:val="1"/>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比选文件答疑</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（一）比选疑问提交方式：比选申请人以书面方式提交需要澄清的问题（须盖比选申请人公章）。</w:t>
      </w:r>
    </w:p>
    <w:p>
      <w:pPr>
        <w:spacing w:after="0" w:line="500" w:lineRule="exact"/>
        <w:ind w:firstLine="640" w:firstLineChars="200"/>
        <w:jc w:val="both"/>
        <w:rPr>
          <w:rFonts w:ascii="仿宋_GB2312" w:hAnsi="仿宋_GB2312" w:eastAsia="仿宋_GB2312" w:cs="仿宋_GB2312"/>
          <w:sz w:val="28"/>
          <w:szCs w:val="24"/>
          <w:highlight w:val="none"/>
        </w:rPr>
      </w:pPr>
      <w:r>
        <w:rPr>
          <w:rFonts w:hint="eastAsia" w:ascii="仿宋_GB2312" w:hAnsi="仿宋_GB2312" w:eastAsia="仿宋_GB2312" w:cs="仿宋_GB2312"/>
          <w:sz w:val="32"/>
          <w:szCs w:val="32"/>
        </w:rPr>
        <w:t>（二）比选人在比选疑问提交截止时间后1日内予以答疑，本项目比选疑问提交截止时间为20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日17时00分（北京时间）。</w:t>
      </w:r>
      <w:bookmarkStart w:id="38" w:name="_GoBack"/>
      <w:bookmarkEnd w:id="38"/>
    </w:p>
    <w:p>
      <w:pPr>
        <w:numPr>
          <w:ilvl w:val="0"/>
          <w:numId w:val="1"/>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比选申请文件的递交</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（一）比选申请文件递交及截止时间：递交时间为202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日上午9:30--10:00时（北京时间），截止时间为202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日上午10:00时（北京时间）。</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（二）比选文件递交地点：成都市高新区天府一街535号两江国际A座</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层本项目开标室。</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（三）逾期送达的比选申请文件，比选人不予受理。</w:t>
      </w:r>
    </w:p>
    <w:p>
      <w:pPr>
        <w:spacing w:after="0" w:line="500" w:lineRule="exact"/>
        <w:ind w:firstLine="480" w:firstLineChars="150"/>
        <w:jc w:val="both"/>
        <w:rPr>
          <w:rFonts w:ascii="仿宋_GB2312" w:hAnsi="仿宋_GB2312" w:eastAsia="仿宋_GB2312" w:cs="仿宋_GB2312"/>
          <w:sz w:val="28"/>
          <w:szCs w:val="28"/>
        </w:rPr>
      </w:pPr>
      <w:r>
        <w:rPr>
          <w:rFonts w:hint="eastAsia" w:ascii="仿宋_GB2312" w:hAnsi="仿宋_GB2312" w:eastAsia="仿宋_GB2312" w:cs="仿宋_GB2312"/>
          <w:sz w:val="32"/>
          <w:szCs w:val="32"/>
        </w:rPr>
        <w:t>（四）比选申请文件概不退还。</w:t>
      </w:r>
    </w:p>
    <w:p>
      <w:pPr>
        <w:numPr>
          <w:ilvl w:val="0"/>
          <w:numId w:val="1"/>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联系方式</w:t>
      </w:r>
    </w:p>
    <w:p>
      <w:pPr>
        <w:spacing w:after="0" w:line="500" w:lineRule="exact"/>
        <w:ind w:firstLine="480" w:firstLineChars="1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 选 人：四川蜀道铁路运营管理集团有限责任公司</w:t>
      </w:r>
    </w:p>
    <w:p>
      <w:pPr>
        <w:spacing w:after="0" w:line="500" w:lineRule="exact"/>
        <w:ind w:firstLine="480" w:firstLineChars="1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址：成都市高新区天府一街535号两江国际A座</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层</w:t>
      </w:r>
    </w:p>
    <w:p>
      <w:pPr>
        <w:spacing w:after="0" w:line="500" w:lineRule="exact"/>
        <w:ind w:firstLine="480" w:firstLineChars="1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    编：610094</w:t>
      </w:r>
    </w:p>
    <w:p>
      <w:pPr>
        <w:spacing w:after="0" w:line="500" w:lineRule="exact"/>
        <w:ind w:firstLine="480" w:firstLineChars="15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 系 人：</w:t>
      </w:r>
      <w:r>
        <w:rPr>
          <w:rFonts w:hint="eastAsia" w:ascii="仿宋_GB2312" w:hAnsi="仿宋_GB2312" w:eastAsia="仿宋_GB2312" w:cs="仿宋_GB2312"/>
          <w:sz w:val="32"/>
          <w:szCs w:val="32"/>
          <w:lang w:val="en-US" w:eastAsia="zh-CN"/>
        </w:rPr>
        <w:t>何先生</w:t>
      </w:r>
    </w:p>
    <w:p>
      <w:pPr>
        <w:spacing w:after="0" w:line="500" w:lineRule="exact"/>
        <w:ind w:firstLine="480" w:firstLineChars="1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w:t>
      </w:r>
      <w:r>
        <w:rPr>
          <w:rFonts w:hint="eastAsia" w:ascii="仿宋_GB2312" w:hAnsi="仿宋_GB2312" w:eastAsia="仿宋_GB2312" w:cs="仿宋_GB2312"/>
          <w:sz w:val="32"/>
          <w:szCs w:val="32"/>
          <w:lang w:val="en-US" w:eastAsia="zh-CN"/>
        </w:rPr>
        <w:t>13568843667</w:t>
      </w:r>
      <w:r>
        <w:rPr>
          <w:rFonts w:hint="eastAsia" w:ascii="仿宋_GB2312" w:hAnsi="仿宋_GB2312" w:eastAsia="仿宋_GB2312" w:cs="仿宋_GB2312"/>
          <w:sz w:val="32"/>
          <w:szCs w:val="32"/>
        </w:rPr>
        <w:t xml:space="preserve">   </w:t>
      </w:r>
    </w:p>
    <w:p>
      <w:pPr>
        <w:pStyle w:val="29"/>
      </w:pPr>
    </w:p>
    <w:p>
      <w:pPr>
        <w:rPr>
          <w:highlight w:val="none"/>
        </w:rPr>
      </w:pPr>
    </w:p>
    <w:p>
      <w:pPr>
        <w:spacing w:after="0" w:line="500" w:lineRule="exact"/>
        <w:ind w:firstLine="420" w:firstLineChars="150"/>
        <w:jc w:val="both"/>
        <w:rPr>
          <w:rFonts w:hint="eastAsia" w:ascii="仿宋_GB2312" w:hAnsi="仿宋_GB2312" w:eastAsia="仿宋_GB2312" w:cs="仿宋_GB2312"/>
          <w:sz w:val="32"/>
          <w:szCs w:val="32"/>
          <w:lang w:val="en-US" w:eastAsia="zh-CN"/>
        </w:rPr>
      </w:pPr>
      <w:r>
        <w:rPr>
          <w:rFonts w:ascii="仿宋_GB2312" w:hAnsi="仿宋_GB2312" w:eastAsia="仿宋_GB2312" w:cs="仿宋_GB2312"/>
          <w:b w:val="0"/>
          <w:bCs w:val="0"/>
          <w:kern w:val="0"/>
          <w:sz w:val="28"/>
          <w:szCs w:val="24"/>
          <w:highlight w:val="none"/>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bookmarkStart w:id="4" w:name="_Toc30893_WPSOffice_Level1"/>
      <w:r>
        <w:rPr>
          <w:rFonts w:hint="eastAsia" w:ascii="仿宋_GB2312" w:hAnsi="仿宋_GB2312" w:eastAsia="仿宋_GB2312" w:cs="仿宋_GB2312"/>
          <w:sz w:val="32"/>
          <w:szCs w:val="32"/>
          <w:lang w:val="en-US" w:eastAsia="zh-CN"/>
        </w:rPr>
        <w:t xml:space="preserve">10日 </w:t>
      </w:r>
    </w:p>
    <w:p>
      <w:pPr>
        <w:spacing w:after="0" w:line="500" w:lineRule="exact"/>
        <w:ind w:firstLine="480" w:firstLineChars="1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bookmarkEnd w:id="4"/>
    <w:p>
      <w:pPr>
        <w:spacing w:after="0" w:line="500" w:lineRule="exact"/>
        <w:jc w:val="center"/>
        <w:outlineLvl w:val="0"/>
        <w:rPr>
          <w:rFonts w:hint="eastAsia" w:ascii="方正小标宋简体" w:hAnsi="方正小标宋简体" w:eastAsia="方正小标宋简体" w:cs="方正小标宋简体"/>
          <w:bCs/>
          <w:kern w:val="44"/>
          <w:sz w:val="44"/>
          <w:szCs w:val="44"/>
        </w:rPr>
      </w:pPr>
      <w:bookmarkStart w:id="5" w:name="_Toc96874881"/>
      <w:r>
        <w:rPr>
          <w:rFonts w:hint="eastAsia" w:ascii="方正小标宋简体" w:hAnsi="方正小标宋简体" w:eastAsia="方正小标宋简体" w:cs="方正小标宋简体"/>
          <w:bCs/>
          <w:kern w:val="44"/>
          <w:sz w:val="44"/>
          <w:szCs w:val="44"/>
        </w:rPr>
        <w:t>第二章  比选申请人须知</w:t>
      </w:r>
      <w:bookmarkEnd w:id="5"/>
    </w:p>
    <w:p>
      <w:pPr>
        <w:numPr>
          <w:ilvl w:val="0"/>
          <w:numId w:val="2"/>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项目名称</w:t>
      </w:r>
    </w:p>
    <w:p>
      <w:pPr>
        <w:spacing w:after="0" w:line="500" w:lineRule="exact"/>
        <w:ind w:firstLine="640" w:firstLineChars="200"/>
        <w:jc w:val="both"/>
        <w:rPr>
          <w:rFonts w:ascii="仿宋_GB2312" w:hAnsi="仿宋_GB2312" w:eastAsia="仿宋_GB2312" w:cs="仿宋_GB2312"/>
          <w:sz w:val="28"/>
        </w:rPr>
      </w:pPr>
      <w:r>
        <w:rPr>
          <w:rFonts w:hint="eastAsia" w:ascii="仿宋_GB2312" w:hAnsi="仿宋_GB2312" w:eastAsia="仿宋_GB2312" w:cs="仿宋_GB2312"/>
          <w:sz w:val="32"/>
          <w:szCs w:val="32"/>
        </w:rPr>
        <w:t>四川蜀道铁路运营管理集团有限责任公司常年税务顾问服务项目</w:t>
      </w:r>
      <w:r>
        <w:rPr>
          <w:rFonts w:hint="eastAsia" w:ascii="仿宋_GB2312" w:hAnsi="仿宋_GB2312" w:eastAsia="仿宋_GB2312" w:cs="仿宋_GB2312"/>
          <w:sz w:val="28"/>
        </w:rPr>
        <w:t>。</w:t>
      </w:r>
    </w:p>
    <w:p>
      <w:pPr>
        <w:numPr>
          <w:ilvl w:val="0"/>
          <w:numId w:val="2"/>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税务顾问的资格要求</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最低资格要求详见第一章比选公告中的相关要求。最低资格以下的是不符合条件的申请人，比选人不予接受。如比选申请人实际上并未达到最低要求，因提供虚假资料而致使参加比选而中选，中选自始无效。</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业绩要求详见第一章比选公告中的税务师事务所及服务团队资格要求。</w:t>
      </w:r>
    </w:p>
    <w:p>
      <w:pPr>
        <w:numPr>
          <w:ilvl w:val="0"/>
          <w:numId w:val="2"/>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最高限价</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本项目最高限价为年服务费用（含税）</w:t>
      </w:r>
      <w:r>
        <w:rPr>
          <w:rFonts w:hint="eastAsia" w:ascii="仿宋_GB2312" w:hAnsi="仿宋_GB2312" w:eastAsia="仿宋_GB2312" w:cs="仿宋_GB2312"/>
          <w:sz w:val="32"/>
          <w:szCs w:val="32"/>
          <w:lang w:val="en-US" w:eastAsia="zh-CN"/>
        </w:rPr>
        <w:t>16.5</w:t>
      </w:r>
      <w:r>
        <w:rPr>
          <w:rFonts w:hint="eastAsia" w:ascii="仿宋_GB2312" w:hAnsi="仿宋_GB2312" w:eastAsia="仿宋_GB2312" w:cs="仿宋_GB2312"/>
          <w:sz w:val="32"/>
          <w:szCs w:val="32"/>
        </w:rPr>
        <w:t>万元（大写：人民币</w:t>
      </w:r>
      <w:r>
        <w:rPr>
          <w:rFonts w:hint="default" w:ascii="仿宋_GB2312" w:hAnsi="仿宋_GB2312" w:eastAsia="仿宋_GB2312" w:cs="仿宋_GB2312"/>
          <w:sz w:val="32"/>
          <w:szCs w:val="32"/>
        </w:rPr>
        <w:t>壹拾陆万伍仟</w:t>
      </w:r>
      <w:r>
        <w:rPr>
          <w:rFonts w:hint="eastAsia" w:ascii="仿宋_GB2312" w:hAnsi="仿宋_GB2312" w:eastAsia="仿宋_GB2312" w:cs="仿宋_GB2312"/>
          <w:sz w:val="32"/>
          <w:szCs w:val="32"/>
          <w:lang w:val="en-US" w:eastAsia="zh-CN"/>
        </w:rPr>
        <w:t>元整</w:t>
      </w:r>
      <w:r>
        <w:rPr>
          <w:rFonts w:hint="eastAsia" w:ascii="仿宋_GB2312" w:hAnsi="仿宋_GB2312" w:eastAsia="仿宋_GB2312" w:cs="仿宋_GB2312"/>
          <w:sz w:val="32"/>
          <w:szCs w:val="32"/>
        </w:rPr>
        <w:t>）。</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比选申请人的报价应包括中选后需完成合同规定所有工作内容需承担的服务费用、税金等一切费用与利润，并考虑应承担的风险和责任，包干使用。</w:t>
      </w:r>
    </w:p>
    <w:p>
      <w:pPr>
        <w:numPr>
          <w:ilvl w:val="0"/>
          <w:numId w:val="2"/>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比选费用</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申请人在比选过程中的一切费用，不论中选与否，均由申请人自行承担。</w:t>
      </w:r>
    </w:p>
    <w:p>
      <w:pPr>
        <w:numPr>
          <w:ilvl w:val="0"/>
          <w:numId w:val="2"/>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比选有效期</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比选有效期为提交比选申请文件的截止日起60日内。</w:t>
      </w:r>
    </w:p>
    <w:p>
      <w:pPr>
        <w:numPr>
          <w:ilvl w:val="0"/>
          <w:numId w:val="2"/>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比选申请文件装订要求</w:t>
      </w:r>
    </w:p>
    <w:p>
      <w:pPr>
        <w:spacing w:after="0" w:line="500" w:lineRule="exact"/>
        <w:ind w:firstLine="640" w:firstLineChars="200"/>
        <w:jc w:val="both"/>
        <w:rPr>
          <w:rFonts w:hint="eastAsia"/>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有参加比选的比选申请人应按第三章比选申请文件的格式中的要求提交比选申请文件，比选申请文件应用简体中文写成，比选申请文件除签名外，全部用不褪色的墨水（粉）打印。比选申请文件正本一份，副本两份，比选申请文件的正、副本一起封装在封套里，封套应加贴封条，并在封套的封口处加盖单位公章或密封章或法定代表人（或授权代理人）的亲笔签字。比选申请文件的封套上应注明申请项目名称和比选申请人名称并加盖公章。</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未按要求密封、标记和投递的比选申请文件，比选人有权拒收。</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选申请文件的正本与副本（副本可以是正本的复印件或影印件）应采用粘贴或装订方式分别装订成册，不得采用活页夹等可随时拆换的方式装订，同时比选申请文件应逐页连续编码，否则，比选人将对比选申请文件页数的丢失、散落或其他后果不承担任何责任。</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除比选申请人对错误处必须修改外，全套比选申请文件应无涂改或行间插字和增删。如有修改，修改处应由比选申请文件签字人签字或加盖比选申请人公章。</w:t>
      </w:r>
    </w:p>
    <w:p>
      <w:pPr>
        <w:numPr>
          <w:ilvl w:val="0"/>
          <w:numId w:val="2"/>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比选申请文件的内容</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比选申请函</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法定代表人（负责人）身份证明</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授权委托书（如有）</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税务师事务所介绍</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拟配备服务团队</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拟配备服务团队常年税务顾问业绩</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信誉承诺函</w:t>
      </w:r>
    </w:p>
    <w:p>
      <w:pPr>
        <w:spacing w:after="0" w:line="500" w:lineRule="exact"/>
        <w:ind w:firstLine="640" w:firstLineChars="200"/>
        <w:jc w:val="both"/>
        <w:rPr>
          <w:rFonts w:ascii="仿宋_GB2312" w:hAnsi="仿宋_GB2312" w:eastAsia="仿宋_GB2312" w:cs="仿宋_GB2312"/>
          <w:sz w:val="28"/>
          <w:szCs w:val="28"/>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服务方案</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其他资料（如有）</w:t>
      </w:r>
    </w:p>
    <w:p>
      <w:pPr>
        <w:numPr>
          <w:ilvl w:val="0"/>
          <w:numId w:val="2"/>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比选申请文件的开启</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递交比选申请文件截止时间准时开标，比选人邀请比选申请人参加开标。比选申请文件递交截止时间后，如果比选申请人未达到三家的比选要求，将不开启比选申请文件并将再次发布比选公告。</w:t>
      </w:r>
    </w:p>
    <w:p>
      <w:pPr>
        <w:numPr>
          <w:ilvl w:val="0"/>
          <w:numId w:val="2"/>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比选评标办法</w:t>
      </w:r>
    </w:p>
    <w:p>
      <w:pPr>
        <w:spacing w:after="0" w:line="500" w:lineRule="exact"/>
        <w:ind w:firstLine="640" w:firstLineChars="200"/>
        <w:jc w:val="both"/>
        <w:rPr>
          <w:rFonts w:ascii="仿宋_GB2312" w:hAnsi="仿宋_GB2312" w:eastAsia="仿宋_GB2312" w:cs="仿宋_GB2312"/>
          <w:sz w:val="28"/>
        </w:rPr>
      </w:pPr>
      <w:r>
        <w:rPr>
          <w:rFonts w:hint="eastAsia" w:ascii="仿宋_GB2312" w:hAnsi="仿宋_GB2312" w:eastAsia="仿宋_GB2312" w:cs="仿宋_GB2312"/>
          <w:sz w:val="32"/>
          <w:szCs w:val="32"/>
        </w:rPr>
        <w:t>本次比选采用综合评分法。</w:t>
      </w:r>
    </w:p>
    <w:p>
      <w:pPr>
        <w:numPr>
          <w:ilvl w:val="0"/>
          <w:numId w:val="2"/>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评审程序</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（一）评审委员会集中审查比选申请文件，按第四章评审办法进行评审，对不符合第一章比选公告中最低资格要求的比选申请人作否决处理，对符合比选资格要求的比选申请人按照比选文件的要求进行打分。</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（二）中选原则：根据《评分细则》逐项打分，评审委员会推荐得分靠前的1-3名中选候选人报比选人，最终中选人由比选人根据评审报告确定。</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（二）对比选文件的内容理解有争议的，由比选人按照比选文件所使用的词句、比选文件的有关条款、比选的目的、习惯以及诚实信用原则，确定该条款的真实意思，有两种以上解释的，解释权归评审委员会。</w:t>
      </w:r>
    </w:p>
    <w:p>
      <w:pPr>
        <w:numPr>
          <w:ilvl w:val="0"/>
          <w:numId w:val="2"/>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比选结果公示及通知</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比选人将中选候选人名单在</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"https://www.sdtlyyjt.com/"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四川蜀道铁路运营管理集团有限责任公司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https://www.sdtlyyjt.com)</w:t>
      </w:r>
      <w:r>
        <w:rPr>
          <w:rFonts w:hint="eastAsia" w:ascii="仿宋_GB2312" w:hAnsi="仿宋_GB2312" w:eastAsia="仿宋_GB2312" w:cs="仿宋_GB2312"/>
          <w:sz w:val="32"/>
          <w:szCs w:val="32"/>
        </w:rPr>
        <w:t>公示3日。公示结束且未收到任何质疑或投诉意见，比选人以书面形式向中选人发出中选通知书。</w:t>
      </w:r>
    </w:p>
    <w:p>
      <w:pPr>
        <w:numPr>
          <w:ilvl w:val="0"/>
          <w:numId w:val="2"/>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合同签订</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中选通知书发出后，比选人与中选人签订相关合同。</w:t>
      </w:r>
    </w:p>
    <w:p>
      <w:pPr>
        <w:numPr>
          <w:ilvl w:val="0"/>
          <w:numId w:val="2"/>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补充说明</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本比选文件中约定的“以上”、“至少”、“不少于”包括本数，“以下”不包括本数。</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比选人因疫情防控等其他政策原因，造成本次比选活动暂停、延后或终止的，比选申请人应充分理解并支持防疫工作开展，比选人不承担由此造成的损失。</w:t>
      </w:r>
    </w:p>
    <w:p>
      <w:pPr>
        <w:spacing w:after="0" w:line="500" w:lineRule="exact"/>
        <w:ind w:firstLine="640" w:firstLineChars="200"/>
        <w:jc w:val="both"/>
        <w:rPr>
          <w:rFonts w:ascii="仿宋_GB2312" w:hAnsi="仿宋_GB2312" w:eastAsia="仿宋_GB2312" w:cs="仿宋_GB2312"/>
          <w:sz w:val="28"/>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比选申请人应提前知晓并配合参加本次比选活动（领取比选文件、递交比选申请文件等）所涉及的疫情防控要求，一切责任由比选申请人负责。</w:t>
      </w:r>
      <w:r>
        <w:rPr>
          <w:rFonts w:ascii="方正小标宋简体" w:hAnsi="方正小标宋简体" w:eastAsia="方正小标宋简体" w:cs="方正小标宋简体"/>
          <w:sz w:val="36"/>
          <w:szCs w:val="36"/>
        </w:rPr>
        <w:br w:type="page"/>
      </w:r>
    </w:p>
    <w:p>
      <w:pPr>
        <w:spacing w:after="0" w:line="500" w:lineRule="exact"/>
        <w:jc w:val="center"/>
        <w:outlineLvl w:val="0"/>
        <w:rPr>
          <w:rFonts w:hint="eastAsia" w:ascii="方正小标宋简体" w:hAnsi="方正小标宋简体" w:eastAsia="方正小标宋简体" w:cs="方正小标宋简体"/>
          <w:bCs/>
          <w:kern w:val="44"/>
          <w:sz w:val="44"/>
          <w:szCs w:val="44"/>
        </w:rPr>
      </w:pPr>
      <w:bookmarkStart w:id="6" w:name="_Toc96874882"/>
      <w:r>
        <w:rPr>
          <w:rFonts w:hint="eastAsia" w:ascii="方正小标宋简体" w:hAnsi="方正小标宋简体" w:eastAsia="方正小标宋简体" w:cs="方正小标宋简体"/>
          <w:bCs/>
          <w:kern w:val="44"/>
          <w:sz w:val="44"/>
          <w:szCs w:val="44"/>
        </w:rPr>
        <w:t>第三章  比选人要求</w:t>
      </w:r>
      <w:bookmarkEnd w:id="6"/>
    </w:p>
    <w:p>
      <w:pPr>
        <w:numPr>
          <w:ilvl w:val="0"/>
          <w:numId w:val="3"/>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公司简介</w:t>
      </w:r>
    </w:p>
    <w:p>
      <w:pPr>
        <w:spacing w:after="0" w:line="500" w:lineRule="exact"/>
        <w:ind w:firstLine="640" w:firstLineChars="200"/>
        <w:jc w:val="both"/>
        <w:rPr>
          <w:rFonts w:hint="eastAsia"/>
        </w:rPr>
      </w:pPr>
      <w:r>
        <w:rPr>
          <w:rFonts w:hint="eastAsia" w:ascii="仿宋_GB2312" w:hAnsi="仿宋_GB2312" w:eastAsia="仿宋_GB2312" w:cs="仿宋_GB2312"/>
          <w:sz w:val="32"/>
          <w:szCs w:val="32"/>
        </w:rPr>
        <w:t>四川蜀道铁路运营管理集团有限责任公司（以下简称“蜀道铁路运营集团”或“公司”），是蜀道投资集团有限责任公司的全资直属子企业，以专业化整合方式组建，于2021年12月29日揭牌成立，注册资本10亿元。蜀道铁路运营集团作为四川省唯一地方铁路特许经营企业，致力于打造蜀道铁路运营管理专业化平台，充分发挥合资铁路平台优势，积极布局铁路物流、沿线资源开发等多元经营产业，深挖产业链价值，打造新的利润增长极，有效支撑蜀道集团铁路产业高质量发展。</w:t>
      </w:r>
    </w:p>
    <w:p>
      <w:pPr>
        <w:numPr>
          <w:ilvl w:val="0"/>
          <w:numId w:val="3"/>
        </w:numPr>
        <w:spacing w:after="0" w:line="50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服务范围</w:t>
      </w:r>
    </w:p>
    <w:p>
      <w:pPr>
        <w:spacing w:after="0" w:line="50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蜀道铁路运营集团本部及所属公司</w:t>
      </w:r>
    </w:p>
    <w:p>
      <w:pPr>
        <w:numPr>
          <w:ilvl w:val="0"/>
          <w:numId w:val="3"/>
        </w:numPr>
        <w:spacing w:after="0" w:line="5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服务内容</w:t>
      </w:r>
    </w:p>
    <w:p>
      <w:pPr>
        <w:pStyle w:val="50"/>
        <w:numPr>
          <w:ilvl w:val="0"/>
          <w:numId w:val="4"/>
        </w:num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为公司重大事项提供税务筹划并参与过程管理</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根据甲方要求，有前瞻性的对各重要经济事项（项目）的经营模式、业务流程、管理内容等进行设计安排，规避税务风险，合法降低综合税负。包括但不限于以下方面：</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针对甲方综合开发顶层需求，设计方案并辅导落地实施，乙方会随时接受咨询并在三天内进行邮件、书面回复。</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针对甲方股权收构、资产收购、吸收合并、增资扩股等业务进行税收整体筹划，针对具体案例具体分析原则提供咨询，确保三天内进行回复。</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针对甲方组织架构以及平台公司的增设和甲方战略发展进行税收筹划。根据甲方实际发展情况，定期对甲方的组织构架进行检查，对存在的不合理或需要改进的地方及时向甲方提出，并出具报告。</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根据甲方实际经营情况，合理筹划甲方的资金流，以获得资金的最大利用价值。</w:t>
      </w:r>
    </w:p>
    <w:p>
      <w:pPr>
        <w:pStyle w:val="4"/>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5.为甲方个人所得税的筹划及建议方案。</w:t>
      </w:r>
    </w:p>
    <w:p>
      <w:pPr>
        <w:pStyle w:val="50"/>
        <w:numPr>
          <w:ilvl w:val="0"/>
          <w:numId w:val="4"/>
        </w:num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参与重要经济合同涉税评审及检查</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甲方需求，针对甲方后期签定的重大合同进行财务税收审核，对超过100万以上的合同进行财税合同评审并出具税务意见（同类别的只审核其中一个合同），从源头规避税务风险，合法降低税负以确保决策中税务事项的科学性。</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随时接受财务对个别合同的咨询。</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加强对甲方签署合同的审查，对重大合同（超过100万的合同）抽查率达到50%及以上，小额合同抽查率达到10%。</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针对甲方前期已发生的各项重大经济合同（超过100万的合同）进行税务审核，并出具意见、建议报告。</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乙方每季度派人到现场进行税收检查并出具报告。</w:t>
      </w:r>
    </w:p>
    <w:p>
      <w:pPr>
        <w:pStyle w:val="50"/>
        <w:numPr>
          <w:ilvl w:val="0"/>
          <w:numId w:val="4"/>
        </w:num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日常财税答疑及提供解决办法</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乙方将根据甲方的业务发展需求，每季度走访并记录随访录，提供税收法律、法规和政策方面的咨询，纳税申报操作环节、会计处理及具体方法的咨询；同时对提出的税收政策方面的疑难问题进行解答。</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接受委托后，将根据甲方经营业务性质，分析各税种可能存在的风险，重点解决存在的涉税事项，做好行业疑难问题解答，为企业相关税收优惠政策享用提供充分的法律法规依据，同时在征收管理环节为企业提供最准确的专业知识。</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常涉税解答对象包含甲方相关财务人员以及部分业务人员。通过电话、QQ、邮件等形式解答甲方相关人员日常工作中遇到的财税问题。甲方相关人员可随时向我方电话咨询有关涉税问题，对于特殊情况也可到甲方指定的地点提供服务。</w:t>
      </w:r>
    </w:p>
    <w:p>
      <w:pPr>
        <w:pStyle w:val="50"/>
        <w:numPr>
          <w:ilvl w:val="0"/>
          <w:numId w:val="4"/>
        </w:num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新政策解读与分享</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时向甲方传递各级财税部门出台的最新政策以及专家团队的解读，对特定政策文件进行解释。根据甲方经营范围，分析年度经济收入类型、性质，运用增值税、所得税等税收优惠政策，为甲方提供比较精准的税收优惠政策建议。</w:t>
      </w:r>
    </w:p>
    <w:p>
      <w:pPr>
        <w:pStyle w:val="50"/>
        <w:numPr>
          <w:ilvl w:val="0"/>
          <w:numId w:val="4"/>
        </w:num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纳税遵从日常健康体检及特别事项专门检查</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协助甲方开展税收专项自查工作，并对税务自查评估过程中发现的问题提供解决方案，确保甲方的税务操作合规合法，最大限度的规避税务风险。</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会计核算方式、财务处理提供咨询服务。每次对甲方财务凭证进行不少于50%的抽查，根据企业会计准则以及税收相关规定，对甲方财务凭证以及税收账务处理存在的问题及时提出整改建议，并指导甲方进行改进，对改进效果予以跟踪，形成闭环监控管理，从而逐步规范相关财税工作。</w:t>
      </w:r>
    </w:p>
    <w:p>
      <w:pPr>
        <w:pStyle w:val="50"/>
        <w:numPr>
          <w:ilvl w:val="0"/>
          <w:numId w:val="4"/>
        </w:num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协助甲方与税务部门的交流、沟通</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针对甲方遇到的疑难问题，如增值税纳税义务时间、统借统还等问题，利用乙方良好的沟通渠道，争取取得更有利于甲方的政策支持，以达到及时准确纳税之目的，规避涉税风险。</w:t>
      </w:r>
    </w:p>
    <w:p>
      <w:pPr>
        <w:pStyle w:val="50"/>
        <w:numPr>
          <w:ilvl w:val="0"/>
          <w:numId w:val="4"/>
        </w:num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协助甲方与政府相关部门的交流、沟通</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根据甲方的经营规模与业绩，协助甲方与政府相关部门沟通交流，及时全方位享受到政府给予企业的各种奖励和政策支持。</w:t>
      </w:r>
    </w:p>
    <w:p>
      <w:pPr>
        <w:pStyle w:val="50"/>
        <w:numPr>
          <w:ilvl w:val="0"/>
          <w:numId w:val="4"/>
        </w:numPr>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所得税汇算清缴</w:t>
      </w:r>
    </w:p>
    <w:p>
      <w:pPr>
        <w:spacing w:after="0" w:line="5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核甲方的会计凭证、会计账务、审计报告、重要合同等全部纳税申报资料，依据企业所得税法相关规定，对甲方年度企业所得税汇算清缴出具审核报告，协助铁路物流公司和合资铁路成自公司企业所得税汇算清缴。</w:t>
      </w:r>
    </w:p>
    <w:p>
      <w:pPr>
        <w:pStyle w:val="50"/>
        <w:numPr>
          <w:ilvl w:val="0"/>
          <w:numId w:val="4"/>
        </w:numPr>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税务档案整理</w:t>
      </w:r>
    </w:p>
    <w:p>
      <w:pPr>
        <w:pStyle w:val="4"/>
        <w:ind w:firstLine="640" w:firstLineChars="200"/>
        <w:rPr>
          <w:rFonts w:hint="default" w:ascii="仿宋_GB2312" w:hAnsi="仿宋_GB2312" w:eastAsia="仿宋_GB2312" w:cs="仿宋_GB2312"/>
          <w:color w:val="auto"/>
          <w:sz w:val="32"/>
          <w:szCs w:val="32"/>
          <w:lang w:val="en-US" w:eastAsia="zh-CN" w:bidi="ar-SA"/>
        </w:rPr>
      </w:pPr>
      <w:r>
        <w:rPr>
          <w:rFonts w:hint="default" w:ascii="仿宋_GB2312" w:hAnsi="仿宋_GB2312" w:eastAsia="仿宋_GB2312" w:cs="仿宋_GB2312"/>
          <w:color w:val="auto"/>
          <w:sz w:val="32"/>
          <w:szCs w:val="32"/>
          <w:lang w:val="en-US" w:eastAsia="zh-CN" w:bidi="ar-SA"/>
        </w:rPr>
        <w:t>协助甲方</w:t>
      </w:r>
      <w:r>
        <w:rPr>
          <w:rFonts w:hint="eastAsia" w:ascii="仿宋_GB2312" w:hAnsi="仿宋_GB2312" w:eastAsia="仿宋_GB2312" w:cs="仿宋_GB2312"/>
          <w:color w:val="auto"/>
          <w:sz w:val="32"/>
          <w:szCs w:val="32"/>
          <w:lang w:val="en-US" w:eastAsia="zh-CN" w:bidi="ar-SA"/>
        </w:rPr>
        <w:t>出台税务档案管理相关制度办法、协助甲方集团本部及所属企业建立税务档案管理、协助甲方集团本部整理税务资料，形成税务相关档案。</w:t>
      </w:r>
    </w:p>
    <w:p>
      <w:pPr>
        <w:numPr>
          <w:ilvl w:val="0"/>
          <w:numId w:val="3"/>
        </w:numPr>
        <w:spacing w:after="0" w:line="5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服务期限</w:t>
      </w:r>
    </w:p>
    <w:p>
      <w:pPr>
        <w:pStyle w:val="42"/>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left="0" w:leftChars="0" w:right="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rPr>
        <w:t>自合同签订之日起算，合同期</w:t>
      </w:r>
      <w:r>
        <w:rPr>
          <w:rFonts w:hint="eastAsia" w:ascii="仿宋_GB2312" w:hAnsi="仿宋_GB2312" w:eastAsia="仿宋_GB2312" w:cs="仿宋_GB2312"/>
          <w:sz w:val="32"/>
          <w:szCs w:val="32"/>
          <w:highlight w:val="none"/>
        </w:rPr>
        <w:t>限为</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w:t>
      </w:r>
      <w:r>
        <w:rPr>
          <w:rFonts w:hint="eastAsia" w:eastAsia="仿宋_GB2312" w:cs="Times New Roman"/>
          <w:sz w:val="32"/>
          <w:szCs w:val="32"/>
          <w:highlight w:val="none"/>
          <w:lang w:val="en-US" w:eastAsia="zh-CN"/>
        </w:rPr>
        <w:t>一年一签，每年根据年终考核情况判定是否续签。</w:t>
      </w:r>
    </w:p>
    <w:p>
      <w:pPr>
        <w:numPr>
          <w:ilvl w:val="0"/>
          <w:numId w:val="3"/>
        </w:numPr>
        <w:spacing w:after="0" w:line="5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服务方式</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税务顾问单位须按照服务内容工作要求，为公司选派熟悉业务，并具有丰富经验的专业税务团队提供税务顾问服务。</w:t>
      </w:r>
    </w:p>
    <w:p>
      <w:pPr>
        <w:numPr>
          <w:ilvl w:val="0"/>
          <w:numId w:val="3"/>
        </w:numPr>
        <w:spacing w:after="0" w:line="5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服务要求</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比选人重大商务谈判、协商，需税务顾问团队集中工作较长时间或出差时，由比选人提前与本项目负责人联系；由本项目负责人根据比选人的需要做出相应安排。</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根据比选人的委托或授权，比选申请人通过调查研究、参加有关会议、参与商务谈判、个别咨询、委托代办等形式开展税务顾问工作。</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根据工作需要可随时通知拟派税务顾问服务团队人员提供现场或远程服务。</w:t>
      </w:r>
    </w:p>
    <w:p>
      <w:pPr>
        <w:spacing w:after="0" w:line="500" w:lineRule="exact"/>
        <w:ind w:firstLine="720" w:firstLineChars="200"/>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sz w:val="36"/>
          <w:szCs w:val="36"/>
        </w:rPr>
        <w:br w:type="page"/>
      </w:r>
    </w:p>
    <w:p>
      <w:pPr>
        <w:spacing w:after="0" w:line="500" w:lineRule="exact"/>
        <w:jc w:val="center"/>
        <w:outlineLvl w:val="0"/>
        <w:rPr>
          <w:rFonts w:hint="eastAsia" w:ascii="方正小标宋简体" w:hAnsi="方正小标宋简体" w:eastAsia="方正小标宋简体" w:cs="方正小标宋简体"/>
          <w:bCs/>
          <w:kern w:val="44"/>
          <w:sz w:val="44"/>
          <w:szCs w:val="44"/>
        </w:rPr>
      </w:pPr>
      <w:bookmarkStart w:id="7" w:name="_Toc96874883"/>
      <w:r>
        <w:rPr>
          <w:rFonts w:hint="eastAsia" w:ascii="方正小标宋简体" w:hAnsi="方正小标宋简体" w:eastAsia="方正小标宋简体" w:cs="方正小标宋简体"/>
          <w:bCs/>
          <w:kern w:val="44"/>
          <w:sz w:val="44"/>
          <w:szCs w:val="44"/>
        </w:rPr>
        <w:t>第四章  比选申请文件的格式</w:t>
      </w:r>
      <w:bookmarkEnd w:id="7"/>
    </w:p>
    <w:p>
      <w:pPr>
        <w:jc w:val="center"/>
        <w:rPr>
          <w:rFonts w:asciiTheme="majorEastAsia" w:hAnsiTheme="majorEastAsia" w:eastAsiaTheme="majorEastAsia"/>
          <w:b/>
          <w:sz w:val="52"/>
        </w:rPr>
      </w:pP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(1)比选申请人应按照本章提供的比选申请文件格式要求，提交比选申请文件；本章未提供格式的，由比选申请人自主编制。</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(2)如比选申请人税务师事务所负责人递交比选申请文件，不用填写“三、委托授权书”，以下章节的序号依次递补。</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(3)本章所附格式大小只是范例，可另附页。</w:t>
      </w:r>
    </w:p>
    <w:p>
      <w:pPr>
        <w:jc w:val="center"/>
        <w:rPr>
          <w:rFonts w:asciiTheme="majorEastAsia" w:hAnsiTheme="majorEastAsia" w:eastAsiaTheme="majorEastAsia"/>
          <w:b/>
          <w:sz w:val="52"/>
        </w:rPr>
      </w:pPr>
      <w:r>
        <w:rPr>
          <w:rFonts w:asciiTheme="majorEastAsia" w:hAnsiTheme="majorEastAsia" w:eastAsiaTheme="majorEastAsia"/>
          <w:b/>
          <w:sz w:val="52"/>
        </w:rPr>
        <w:br w:type="page"/>
      </w:r>
    </w:p>
    <w:p>
      <w:pPr>
        <w:spacing w:line="500" w:lineRule="exact"/>
        <w:jc w:val="right"/>
        <w:rPr>
          <w:rFonts w:ascii="方正小标宋简体" w:hAnsi="黑体" w:eastAsia="方正小标宋简体" w:cs="黑体"/>
          <w:kern w:val="2"/>
          <w:sz w:val="44"/>
          <w:szCs w:val="44"/>
        </w:rPr>
      </w:pPr>
      <w:r>
        <w:rPr>
          <w:rFonts w:hint="eastAsia" w:ascii="仿宋_GB2312" w:hAnsi="宋体" w:eastAsia="仿宋_GB2312" w:cs="宋体"/>
          <w:color w:val="000000"/>
          <w:sz w:val="36"/>
        </w:rPr>
        <w:t>（正本/副本）</w:t>
      </w:r>
    </w:p>
    <w:p>
      <w:pPr>
        <w:spacing w:line="500" w:lineRule="exact"/>
        <w:jc w:val="center"/>
        <w:rPr>
          <w:rFonts w:ascii="方正小标宋简体" w:hAnsi="黑体" w:eastAsia="方正小标宋简体" w:cs="黑体"/>
          <w:kern w:val="2"/>
          <w:sz w:val="44"/>
          <w:szCs w:val="44"/>
        </w:rPr>
      </w:pPr>
    </w:p>
    <w:p>
      <w:pPr>
        <w:spacing w:line="500" w:lineRule="exact"/>
        <w:jc w:val="center"/>
        <w:rPr>
          <w:rFonts w:ascii="方正小标宋简体" w:hAnsi="黑体" w:eastAsia="方正小标宋简体" w:cs="黑体"/>
          <w:kern w:val="2"/>
          <w:sz w:val="44"/>
          <w:szCs w:val="44"/>
        </w:rPr>
      </w:pPr>
      <w:r>
        <w:rPr>
          <w:rFonts w:hint="eastAsia" w:ascii="方正小标宋简体" w:hAnsi="黑体" w:eastAsia="方正小标宋简体" w:cs="黑体"/>
          <w:kern w:val="2"/>
          <w:sz w:val="44"/>
          <w:szCs w:val="44"/>
        </w:rPr>
        <w:t>四川蜀道铁路运营管理集团有限责任公司</w:t>
      </w:r>
    </w:p>
    <w:p>
      <w:pPr>
        <w:jc w:val="center"/>
        <w:rPr>
          <w:rFonts w:ascii="黑体" w:hAnsi="黑体" w:eastAsia="黑体" w:cs="黑体"/>
          <w:b/>
          <w:sz w:val="52"/>
        </w:rPr>
      </w:pPr>
      <w:r>
        <w:rPr>
          <w:rFonts w:hint="eastAsia" w:ascii="方正小标宋简体" w:hAnsi="黑体" w:eastAsia="方正小标宋简体" w:cs="黑体"/>
          <w:kern w:val="2"/>
          <w:sz w:val="44"/>
          <w:szCs w:val="44"/>
        </w:rPr>
        <w:t>常年税务顾问服务项目</w:t>
      </w:r>
    </w:p>
    <w:p>
      <w:pPr>
        <w:jc w:val="center"/>
        <w:rPr>
          <w:rFonts w:ascii="黑体" w:hAnsi="黑体" w:eastAsia="黑体" w:cs="黑体"/>
          <w:b/>
          <w:sz w:val="32"/>
        </w:rPr>
      </w:pPr>
    </w:p>
    <w:p>
      <w:pPr>
        <w:jc w:val="center"/>
        <w:rPr>
          <w:rFonts w:ascii="黑体" w:hAnsi="黑体" w:eastAsia="黑体" w:cs="黑体"/>
          <w:b/>
          <w:sz w:val="32"/>
        </w:rPr>
      </w:pPr>
    </w:p>
    <w:p>
      <w:pPr>
        <w:jc w:val="center"/>
        <w:rPr>
          <w:rFonts w:ascii="黑体" w:hAnsi="黑体" w:eastAsia="黑体" w:cs="黑体"/>
          <w:b/>
          <w:sz w:val="32"/>
        </w:rPr>
      </w:pPr>
    </w:p>
    <w:p>
      <w:pPr>
        <w:jc w:val="center"/>
        <w:rPr>
          <w:rFonts w:ascii="黑体" w:hAnsi="黑体" w:eastAsia="黑体" w:cs="黑体"/>
          <w:b/>
          <w:sz w:val="32"/>
        </w:rPr>
      </w:pPr>
    </w:p>
    <w:p/>
    <w:p>
      <w:pPr>
        <w:jc w:val="center"/>
        <w:rPr>
          <w:rFonts w:ascii="黑体" w:hAnsi="黑体" w:eastAsia="黑体" w:cs="黑体"/>
          <w:b/>
          <w:sz w:val="72"/>
        </w:rPr>
      </w:pPr>
      <w:r>
        <w:rPr>
          <w:rFonts w:hint="eastAsia" w:ascii="黑体" w:hAnsi="黑体" w:eastAsia="黑体" w:cs="黑体"/>
          <w:b/>
          <w:sz w:val="72"/>
        </w:rPr>
        <w:t>比选申请文件</w:t>
      </w:r>
    </w:p>
    <w:p>
      <w:pPr>
        <w:jc w:val="center"/>
        <w:rPr>
          <w:rFonts w:ascii="黑体" w:hAnsi="黑体" w:eastAsia="黑体" w:cs="黑体"/>
          <w:b/>
          <w:sz w:val="32"/>
        </w:rPr>
      </w:pPr>
    </w:p>
    <w:p>
      <w:pPr>
        <w:jc w:val="center"/>
        <w:rPr>
          <w:rFonts w:ascii="黑体" w:hAnsi="黑体" w:eastAsia="黑体" w:cs="黑体"/>
          <w:b/>
          <w:sz w:val="32"/>
        </w:rPr>
      </w:pPr>
    </w:p>
    <w:p>
      <w:pPr>
        <w:jc w:val="center"/>
        <w:rPr>
          <w:rFonts w:ascii="黑体" w:hAnsi="黑体" w:eastAsia="黑体" w:cs="黑体"/>
          <w:b/>
          <w:sz w:val="32"/>
        </w:rPr>
      </w:pPr>
    </w:p>
    <w:p>
      <w:pPr>
        <w:jc w:val="center"/>
        <w:rPr>
          <w:rFonts w:ascii="黑体" w:hAnsi="黑体" w:eastAsia="黑体" w:cs="黑体"/>
          <w:b/>
          <w:sz w:val="32"/>
        </w:rPr>
      </w:pPr>
    </w:p>
    <w:p>
      <w:pPr>
        <w:jc w:val="center"/>
        <w:rPr>
          <w:rFonts w:ascii="黑体" w:hAnsi="黑体" w:eastAsia="黑体" w:cs="黑体"/>
          <w:b/>
          <w:sz w:val="32"/>
        </w:rPr>
      </w:pPr>
    </w:p>
    <w:p>
      <w:pPr>
        <w:jc w:val="both"/>
        <w:rPr>
          <w:rFonts w:ascii="黑体" w:hAnsi="黑体" w:eastAsia="黑体" w:cs="黑体"/>
          <w:b/>
          <w:sz w:val="32"/>
        </w:rPr>
      </w:pPr>
    </w:p>
    <w:p>
      <w:pPr>
        <w:jc w:val="center"/>
        <w:rPr>
          <w:rFonts w:ascii="黑体" w:hAnsi="黑体" w:eastAsia="黑体" w:cs="黑体"/>
          <w:b/>
          <w:sz w:val="28"/>
          <w:szCs w:val="28"/>
        </w:rPr>
      </w:pPr>
      <w:r>
        <w:rPr>
          <w:rFonts w:hint="eastAsia" w:ascii="黑体" w:hAnsi="黑体" w:eastAsia="黑体" w:cs="黑体"/>
          <w:b/>
          <w:sz w:val="28"/>
          <w:szCs w:val="28"/>
        </w:rPr>
        <w:t>比选申请人：</w:t>
      </w:r>
      <w:r>
        <w:rPr>
          <w:rFonts w:ascii="黑体" w:hAnsi="黑体" w:eastAsia="黑体" w:cs="黑体"/>
          <w:b/>
          <w:sz w:val="28"/>
          <w:szCs w:val="28"/>
        </w:rPr>
        <w:t>___________________________________</w:t>
      </w:r>
    </w:p>
    <w:p>
      <w:pPr>
        <w:rPr>
          <w:rFonts w:ascii="黑体" w:hAnsi="黑体" w:eastAsia="黑体" w:cs="黑体"/>
          <w:b/>
          <w:sz w:val="28"/>
          <w:szCs w:val="28"/>
        </w:rPr>
      </w:pPr>
    </w:p>
    <w:p>
      <w:pPr>
        <w:jc w:val="center"/>
        <w:rPr>
          <w:rFonts w:ascii="黑体" w:hAnsi="黑体" w:eastAsia="黑体" w:cs="黑体"/>
          <w:b/>
          <w:sz w:val="28"/>
          <w:szCs w:val="28"/>
        </w:rPr>
      </w:pPr>
      <w:r>
        <w:rPr>
          <w:rFonts w:ascii="黑体" w:hAnsi="黑体" w:eastAsia="黑体" w:cs="黑体"/>
          <w:b/>
          <w:sz w:val="28"/>
          <w:szCs w:val="28"/>
        </w:rPr>
        <w:t xml:space="preserve"> _____年___月____日</w:t>
      </w:r>
      <w:bookmarkStart w:id="8" w:name="_Toc498423073"/>
    </w:p>
    <w:p>
      <w:pPr>
        <w:adjustRightInd/>
        <w:snapToGrid/>
        <w:spacing w:after="0"/>
        <w:rPr>
          <w:rFonts w:asciiTheme="majorEastAsia" w:hAnsiTheme="majorEastAsia" w:eastAsiaTheme="majorEastAsia"/>
        </w:rPr>
      </w:pPr>
      <w:r>
        <w:rPr>
          <w:rFonts w:asciiTheme="majorEastAsia" w:hAnsiTheme="majorEastAsia" w:eastAsiaTheme="majorEastAsia"/>
        </w:rPr>
        <w:br w:type="page"/>
      </w:r>
    </w:p>
    <w:p>
      <w:pPr>
        <w:keepNext/>
        <w:spacing w:before="156" w:beforeLines="50" w:after="156" w:afterLines="50" w:line="360" w:lineRule="auto"/>
        <w:jc w:val="center"/>
        <w:outlineLvl w:val="1"/>
        <w:rPr>
          <w:rFonts w:ascii="仿宋_GB2312" w:hAnsi="宋体" w:eastAsia="仿宋_GB2312"/>
          <w:b/>
          <w:bCs/>
          <w:sz w:val="32"/>
          <w:szCs w:val="32"/>
        </w:rPr>
      </w:pPr>
      <w:bookmarkStart w:id="9" w:name="_Toc96874884"/>
      <w:bookmarkStart w:id="10" w:name="_Toc96874729"/>
      <w:r>
        <w:rPr>
          <w:rFonts w:hint="eastAsia" w:ascii="仿宋_GB2312" w:hAnsi="宋体" w:eastAsia="仿宋_GB2312"/>
          <w:b/>
          <w:bCs/>
          <w:sz w:val="32"/>
          <w:szCs w:val="32"/>
        </w:rPr>
        <w:t>目  录</w:t>
      </w:r>
      <w:bookmarkEnd w:id="9"/>
      <w:bookmarkEnd w:id="10"/>
    </w:p>
    <w:p>
      <w:pPr>
        <w:spacing w:line="560" w:lineRule="exact"/>
        <w:ind w:firstLine="630" w:firstLineChars="225"/>
        <w:rPr>
          <w:rFonts w:ascii="仿宋_GB2312" w:hAnsi="仿宋_GB2312" w:eastAsia="仿宋_GB2312" w:cs="仿宋_GB2312"/>
          <w:sz w:val="28"/>
          <w:szCs w:val="28"/>
        </w:rPr>
      </w:pPr>
      <w:r>
        <w:rPr>
          <w:rFonts w:hint="eastAsia" w:ascii="仿宋_GB2312" w:hAnsi="仿宋_GB2312" w:eastAsia="仿宋_GB2312" w:cs="仿宋_GB2312"/>
          <w:sz w:val="28"/>
          <w:szCs w:val="28"/>
        </w:rPr>
        <w:t>一、比选申请函</w:t>
      </w:r>
    </w:p>
    <w:p>
      <w:pPr>
        <w:spacing w:line="560" w:lineRule="exact"/>
        <w:ind w:firstLine="630" w:firstLineChars="225"/>
        <w:rPr>
          <w:rFonts w:ascii="仿宋_GB2312" w:hAnsi="仿宋_GB2312" w:eastAsia="仿宋_GB2312" w:cs="仿宋_GB2312"/>
          <w:sz w:val="28"/>
          <w:szCs w:val="28"/>
        </w:rPr>
      </w:pPr>
      <w:r>
        <w:rPr>
          <w:rFonts w:hint="eastAsia" w:ascii="仿宋_GB2312" w:hAnsi="仿宋_GB2312" w:eastAsia="仿宋_GB2312" w:cs="仿宋_GB2312"/>
          <w:sz w:val="28"/>
          <w:szCs w:val="28"/>
        </w:rPr>
        <w:t>二、法定代表人（负责人）身份证明</w:t>
      </w:r>
    </w:p>
    <w:p>
      <w:pPr>
        <w:spacing w:line="560" w:lineRule="exact"/>
        <w:ind w:firstLine="630" w:firstLineChars="225"/>
        <w:rPr>
          <w:rFonts w:ascii="仿宋_GB2312" w:hAnsi="仿宋_GB2312" w:eastAsia="仿宋_GB2312" w:cs="仿宋_GB2312"/>
          <w:sz w:val="28"/>
          <w:szCs w:val="28"/>
        </w:rPr>
      </w:pPr>
      <w:r>
        <w:rPr>
          <w:rFonts w:hint="eastAsia" w:ascii="仿宋_GB2312" w:hAnsi="仿宋_GB2312" w:eastAsia="仿宋_GB2312" w:cs="仿宋_GB2312"/>
          <w:sz w:val="28"/>
          <w:szCs w:val="28"/>
        </w:rPr>
        <w:t>三、授权委托书（如有）</w:t>
      </w:r>
    </w:p>
    <w:p>
      <w:pPr>
        <w:spacing w:line="560" w:lineRule="exact"/>
        <w:ind w:firstLine="630" w:firstLineChars="225"/>
        <w:rPr>
          <w:rFonts w:ascii="仿宋_GB2312" w:hAnsi="仿宋_GB2312" w:eastAsia="仿宋_GB2312" w:cs="仿宋_GB2312"/>
          <w:sz w:val="28"/>
          <w:szCs w:val="28"/>
        </w:rPr>
      </w:pPr>
      <w:r>
        <w:rPr>
          <w:rFonts w:hint="eastAsia" w:ascii="仿宋_GB2312" w:hAnsi="仿宋_GB2312" w:eastAsia="仿宋_GB2312" w:cs="仿宋_GB2312"/>
          <w:sz w:val="28"/>
          <w:szCs w:val="28"/>
        </w:rPr>
        <w:t>四、税务师事务所介绍</w:t>
      </w:r>
    </w:p>
    <w:p>
      <w:pPr>
        <w:spacing w:line="560" w:lineRule="exact"/>
        <w:ind w:firstLine="630" w:firstLineChars="225"/>
        <w:rPr>
          <w:rFonts w:ascii="仿宋_GB2312" w:hAnsi="仿宋_GB2312" w:eastAsia="仿宋_GB2312" w:cs="仿宋_GB2312"/>
          <w:sz w:val="28"/>
          <w:szCs w:val="28"/>
        </w:rPr>
      </w:pPr>
      <w:r>
        <w:rPr>
          <w:rFonts w:hint="eastAsia" w:ascii="仿宋_GB2312" w:hAnsi="仿宋_GB2312" w:eastAsia="仿宋_GB2312" w:cs="仿宋_GB2312"/>
          <w:sz w:val="28"/>
          <w:szCs w:val="28"/>
        </w:rPr>
        <w:t>五、拟配备税务顾问团队</w:t>
      </w:r>
    </w:p>
    <w:p>
      <w:pPr>
        <w:spacing w:line="560" w:lineRule="exact"/>
        <w:ind w:firstLine="630" w:firstLineChars="225"/>
        <w:rPr>
          <w:rFonts w:ascii="仿宋_GB2312" w:hAnsi="仿宋_GB2312" w:eastAsia="仿宋_GB2312" w:cs="仿宋_GB2312"/>
          <w:sz w:val="28"/>
          <w:szCs w:val="28"/>
        </w:rPr>
      </w:pPr>
      <w:r>
        <w:rPr>
          <w:rFonts w:hint="eastAsia" w:ascii="仿宋_GB2312" w:hAnsi="仿宋_GB2312" w:eastAsia="仿宋_GB2312" w:cs="仿宋_GB2312"/>
          <w:sz w:val="28"/>
          <w:szCs w:val="28"/>
        </w:rPr>
        <w:t>六、拟配备顾问团队常年税务顾问业绩</w:t>
      </w:r>
    </w:p>
    <w:p>
      <w:pPr>
        <w:spacing w:line="560" w:lineRule="exact"/>
        <w:ind w:firstLine="630" w:firstLineChars="225"/>
        <w:rPr>
          <w:rFonts w:ascii="仿宋_GB2312" w:hAnsi="仿宋_GB2312" w:eastAsia="仿宋_GB2312" w:cs="仿宋_GB2312"/>
          <w:sz w:val="28"/>
          <w:szCs w:val="28"/>
        </w:rPr>
      </w:pPr>
      <w:r>
        <w:rPr>
          <w:rFonts w:hint="eastAsia" w:ascii="仿宋_GB2312" w:hAnsi="仿宋_GB2312" w:eastAsia="仿宋_GB2312" w:cs="仿宋_GB2312"/>
          <w:sz w:val="28"/>
          <w:szCs w:val="28"/>
        </w:rPr>
        <w:t>七、信誉承诺函</w:t>
      </w:r>
    </w:p>
    <w:p>
      <w:pPr>
        <w:spacing w:line="560" w:lineRule="exact"/>
        <w:ind w:firstLine="630" w:firstLineChars="225"/>
        <w:rPr>
          <w:rFonts w:ascii="仿宋_GB2312" w:hAnsi="仿宋_GB2312" w:eastAsia="仿宋_GB2312" w:cs="仿宋_GB2312"/>
          <w:sz w:val="28"/>
          <w:szCs w:val="28"/>
        </w:rPr>
      </w:pPr>
      <w:r>
        <w:rPr>
          <w:rFonts w:hint="eastAsia" w:ascii="仿宋_GB2312" w:hAnsi="仿宋_GB2312" w:eastAsia="仿宋_GB2312" w:cs="仿宋_GB2312"/>
          <w:sz w:val="28"/>
          <w:szCs w:val="28"/>
        </w:rPr>
        <w:t>八</w:t>
      </w:r>
      <w:r>
        <w:rPr>
          <w:rFonts w:ascii="仿宋_GB2312" w:hAnsi="仿宋_GB2312" w:eastAsia="仿宋_GB2312" w:cs="仿宋_GB2312"/>
          <w:sz w:val="28"/>
          <w:szCs w:val="28"/>
        </w:rPr>
        <w:t>、服务方案</w:t>
      </w:r>
    </w:p>
    <w:p>
      <w:pPr>
        <w:spacing w:line="560" w:lineRule="exact"/>
        <w:ind w:firstLine="630" w:firstLineChars="225"/>
        <w:rPr>
          <w:rFonts w:ascii="仿宋_GB2312" w:hAnsi="仿宋_GB2312" w:eastAsia="仿宋_GB2312" w:cs="仿宋_GB2312"/>
          <w:sz w:val="28"/>
          <w:szCs w:val="28"/>
        </w:rPr>
      </w:pPr>
      <w:r>
        <w:rPr>
          <w:rFonts w:hint="eastAsia" w:ascii="仿宋_GB2312" w:hAnsi="仿宋_GB2312" w:eastAsia="仿宋_GB2312" w:cs="仿宋_GB2312"/>
          <w:sz w:val="28"/>
          <w:szCs w:val="28"/>
        </w:rPr>
        <w:t>九</w:t>
      </w:r>
      <w:r>
        <w:rPr>
          <w:rFonts w:ascii="仿宋_GB2312" w:hAnsi="仿宋_GB2312" w:eastAsia="仿宋_GB2312" w:cs="仿宋_GB2312"/>
          <w:sz w:val="28"/>
          <w:szCs w:val="28"/>
        </w:rPr>
        <w:t>、其他资料（如有）</w:t>
      </w:r>
    </w:p>
    <w:p>
      <w:pPr>
        <w:spacing w:line="560" w:lineRule="exact"/>
        <w:ind w:firstLine="495" w:firstLineChars="225"/>
        <w:rPr>
          <w:rFonts w:asciiTheme="majorEastAsia" w:hAnsiTheme="majorEastAsia" w:eastAsiaTheme="majorEastAsia"/>
        </w:rPr>
      </w:pPr>
      <w:r>
        <w:rPr>
          <w:rFonts w:asciiTheme="majorEastAsia" w:hAnsiTheme="majorEastAsia" w:eastAsiaTheme="majorEastAsia"/>
        </w:rPr>
        <w:br w:type="page"/>
      </w:r>
    </w:p>
    <w:p>
      <w:pPr>
        <w:pStyle w:val="6"/>
        <w:ind w:left="0" w:firstLine="0" w:firstLineChars="0"/>
        <w:rPr>
          <w:rFonts w:asciiTheme="majorEastAsia" w:hAnsiTheme="majorEastAsia" w:eastAsiaTheme="majorEastAsia"/>
        </w:rPr>
      </w:pPr>
      <w:bookmarkStart w:id="11" w:name="_Toc96874885"/>
      <w:bookmarkStart w:id="12" w:name="_Toc96874730"/>
      <w:r>
        <w:rPr>
          <w:rFonts w:hint="eastAsia" w:asciiTheme="majorEastAsia" w:hAnsiTheme="majorEastAsia" w:eastAsiaTheme="majorEastAsia"/>
        </w:rPr>
        <w:t>一.比选申请函</w:t>
      </w:r>
      <w:bookmarkEnd w:id="8"/>
      <w:bookmarkEnd w:id="11"/>
      <w:bookmarkEnd w:id="12"/>
    </w:p>
    <w:p>
      <w:pPr>
        <w:spacing w:line="6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比选申请函</w:t>
      </w:r>
    </w:p>
    <w:p>
      <w:pPr>
        <w:spacing w:before="156" w:beforeLines="5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ascii="仿宋_GB2312" w:hAnsi="仿宋_GB2312" w:eastAsia="仿宋_GB2312" w:cs="仿宋_GB2312"/>
          <w:sz w:val="28"/>
          <w:szCs w:val="28"/>
        </w:rPr>
        <w:t xml:space="preserve">                    </w:t>
      </w:r>
    </w:p>
    <w:p>
      <w:pPr>
        <w:spacing w:line="560" w:lineRule="exact"/>
        <w:ind w:firstLine="630" w:firstLineChars="225"/>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我所仔细阅读了《四川蜀道铁路运营管理集团有限责任公司常年税务顾问服务项目比选文件》内容，在对各项内容充分理解的基础上，我方按照比选文件的要求对贵公司常年税务顾问服务的报价如下：</w:t>
      </w:r>
    </w:p>
    <w:p>
      <w:pPr>
        <w:spacing w:line="560" w:lineRule="exact"/>
        <w:ind w:firstLine="630" w:firstLineChars="225"/>
        <w:jc w:val="both"/>
        <w:rPr>
          <w:rFonts w:ascii="仿宋_GB2312" w:hAnsi="仿宋_GB2312" w:eastAsia="仿宋_GB2312" w:cs="仿宋_GB2312"/>
          <w:sz w:val="28"/>
          <w:szCs w:val="28"/>
        </w:rPr>
      </w:pPr>
      <w:r>
        <w:rPr>
          <w:rFonts w:ascii="仿宋_GB2312" w:hAnsi="仿宋_GB2312" w:eastAsia="仿宋_GB2312" w:cs="仿宋_GB2312"/>
          <w:sz w:val="28"/>
          <w:szCs w:val="28"/>
        </w:rPr>
        <w:t>1.我方就该项目的报价如下：</w:t>
      </w:r>
    </w:p>
    <w:tbl>
      <w:tblPr>
        <w:tblStyle w:val="23"/>
        <w:tblW w:w="8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376" w:type="dxa"/>
            <w:vAlign w:val="center"/>
          </w:tcPr>
          <w:p>
            <w:pPr>
              <w:widowControl w:val="0"/>
              <w:spacing w:line="560" w:lineRule="exact"/>
              <w:jc w:val="center"/>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申请人名称</w:t>
            </w:r>
          </w:p>
        </w:tc>
        <w:tc>
          <w:tcPr>
            <w:tcW w:w="5670" w:type="dxa"/>
            <w:vAlign w:val="center"/>
          </w:tcPr>
          <w:p>
            <w:pPr>
              <w:widowControl w:val="0"/>
              <w:spacing w:line="560" w:lineRule="exact"/>
              <w:ind w:firstLine="140" w:firstLineChars="50"/>
              <w:jc w:val="center"/>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常年税务顾问服务费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2376" w:type="dxa"/>
            <w:vAlign w:val="center"/>
          </w:tcPr>
          <w:p>
            <w:pPr>
              <w:widowControl w:val="0"/>
              <w:spacing w:line="560" w:lineRule="exact"/>
              <w:jc w:val="center"/>
              <w:rPr>
                <w:rFonts w:ascii="仿宋_GB2312" w:hAnsi="仿宋_GB2312" w:eastAsia="仿宋_GB2312" w:cs="仿宋_GB2312"/>
                <w:kern w:val="2"/>
                <w:sz w:val="28"/>
                <w:szCs w:val="28"/>
              </w:rPr>
            </w:pPr>
          </w:p>
        </w:tc>
        <w:tc>
          <w:tcPr>
            <w:tcW w:w="5670" w:type="dxa"/>
            <w:vAlign w:val="center"/>
          </w:tcPr>
          <w:p>
            <w:pPr>
              <w:widowControl w:val="0"/>
              <w:spacing w:line="560" w:lineRule="exact"/>
              <w:ind w:firstLine="280" w:firstLineChars="100"/>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rPr>
              <w:t>含税</w:t>
            </w:r>
            <w:r>
              <w:rPr>
                <w:rFonts w:hint="eastAsia" w:ascii="仿宋_GB2312" w:hAnsi="仿宋_GB2312" w:eastAsia="仿宋_GB2312" w:cs="仿宋_GB2312"/>
                <w:kern w:val="2"/>
                <w:sz w:val="28"/>
                <w:szCs w:val="28"/>
              </w:rPr>
              <w:t>金额（小写）：</w:t>
            </w:r>
            <w:r>
              <w:rPr>
                <w:rFonts w:hint="eastAsia" w:ascii="仿宋_GB2312" w:hAnsi="仿宋_GB2312" w:eastAsia="仿宋_GB2312" w:cs="仿宋_GB2312"/>
                <w:kern w:val="2"/>
                <w:sz w:val="28"/>
                <w:szCs w:val="28"/>
                <w:u w:val="single"/>
              </w:rPr>
              <w:t xml:space="preserve">         </w:t>
            </w:r>
            <w:r>
              <w:rPr>
                <w:rFonts w:ascii="仿宋_GB2312" w:hAnsi="仿宋_GB2312" w:eastAsia="仿宋_GB2312" w:cs="仿宋_GB2312"/>
                <w:kern w:val="2"/>
                <w:sz w:val="28"/>
                <w:szCs w:val="28"/>
                <w:u w:val="single"/>
              </w:rPr>
              <w:t>元</w:t>
            </w:r>
            <w:r>
              <w:rPr>
                <w:rFonts w:hint="eastAsia" w:ascii="仿宋_GB2312" w:hAnsi="仿宋_GB2312" w:eastAsia="仿宋_GB2312" w:cs="仿宋_GB2312"/>
                <w:kern w:val="2"/>
                <w:sz w:val="28"/>
                <w:szCs w:val="28"/>
                <w:u w:val="single"/>
                <w:lang w:eastAsia="zh-CN"/>
              </w:rPr>
              <w:t>（</w:t>
            </w:r>
            <w:r>
              <w:rPr>
                <w:rFonts w:hint="eastAsia" w:ascii="仿宋_GB2312" w:hAnsi="仿宋_GB2312" w:eastAsia="仿宋_GB2312" w:cs="仿宋_GB2312"/>
                <w:kern w:val="2"/>
                <w:sz w:val="28"/>
                <w:szCs w:val="28"/>
                <w:u w:val="single"/>
                <w:lang w:val="en-US" w:eastAsia="zh-CN"/>
              </w:rPr>
              <w:t>税率  %</w:t>
            </w:r>
            <w:r>
              <w:rPr>
                <w:rFonts w:hint="eastAsia" w:ascii="仿宋_GB2312" w:hAnsi="仿宋_GB2312" w:eastAsia="仿宋_GB2312" w:cs="仿宋_GB2312"/>
                <w:kern w:val="2"/>
                <w:sz w:val="28"/>
                <w:szCs w:val="28"/>
                <w:u w:val="single"/>
                <w:lang w:eastAsia="zh-CN"/>
              </w:rPr>
              <w:t>）</w:t>
            </w:r>
          </w:p>
          <w:p>
            <w:pPr>
              <w:widowControl w:val="0"/>
              <w:spacing w:line="560" w:lineRule="exact"/>
              <w:ind w:firstLine="280" w:firstLineChars="100"/>
              <w:jc w:val="left"/>
              <w:rPr>
                <w:rFonts w:ascii="仿宋_GB2312" w:hAnsi="仿宋_GB2312" w:eastAsia="仿宋_GB2312" w:cs="仿宋_GB2312"/>
                <w:kern w:val="2"/>
                <w:sz w:val="28"/>
                <w:szCs w:val="28"/>
              </w:rPr>
            </w:pPr>
            <w:r>
              <w:rPr>
                <w:rFonts w:ascii="仿宋_GB2312" w:hAnsi="仿宋_GB2312" w:eastAsia="仿宋_GB2312" w:cs="仿宋_GB2312"/>
                <w:kern w:val="2"/>
                <w:sz w:val="28"/>
                <w:szCs w:val="28"/>
              </w:rPr>
              <w:t>(大写：</w:t>
            </w:r>
            <w:r>
              <w:rPr>
                <w:rFonts w:hint="eastAsia" w:ascii="仿宋_GB2312" w:hAnsi="仿宋_GB2312" w:eastAsia="仿宋_GB2312" w:cs="仿宋_GB2312"/>
                <w:kern w:val="2"/>
                <w:sz w:val="28"/>
                <w:szCs w:val="28"/>
              </w:rPr>
              <w:t>人民币</w:t>
            </w:r>
            <w:r>
              <w:rPr>
                <w:rFonts w:ascii="仿宋_GB2312" w:hAnsi="仿宋_GB2312" w:eastAsia="仿宋_GB2312" w:cs="仿宋_GB2312"/>
                <w:kern w:val="2"/>
                <w:sz w:val="28"/>
                <w:szCs w:val="28"/>
                <w:u w:val="single"/>
              </w:rPr>
              <w:t xml:space="preserve">  </w:t>
            </w:r>
            <w:r>
              <w:rPr>
                <w:rFonts w:hint="eastAsia" w:ascii="仿宋_GB2312" w:hAnsi="仿宋_GB2312" w:eastAsia="仿宋_GB2312" w:cs="仿宋_GB2312"/>
                <w:kern w:val="2"/>
                <w:sz w:val="28"/>
                <w:szCs w:val="28"/>
                <w:u w:val="single"/>
              </w:rPr>
              <w:t xml:space="preserve">        </w:t>
            </w:r>
            <w:r>
              <w:rPr>
                <w:rFonts w:ascii="仿宋_GB2312" w:hAnsi="仿宋_GB2312" w:eastAsia="仿宋_GB2312" w:cs="仿宋_GB2312"/>
                <w:kern w:val="2"/>
                <w:sz w:val="28"/>
                <w:szCs w:val="28"/>
                <w:u w:val="single"/>
              </w:rPr>
              <w:t xml:space="preserve">        </w:t>
            </w:r>
            <w:r>
              <w:rPr>
                <w:rFonts w:hint="eastAsia" w:ascii="仿宋_GB2312" w:hAnsi="仿宋_GB2312" w:eastAsia="仿宋_GB2312" w:cs="仿宋_GB2312"/>
                <w:kern w:val="2"/>
                <w:sz w:val="28"/>
                <w:szCs w:val="28"/>
              </w:rPr>
              <w:t>）</w:t>
            </w:r>
          </w:p>
        </w:tc>
      </w:tr>
    </w:tbl>
    <w:p>
      <w:pPr>
        <w:spacing w:line="560" w:lineRule="exact"/>
        <w:ind w:firstLine="630" w:firstLineChars="225"/>
        <w:jc w:val="both"/>
        <w:rPr>
          <w:rFonts w:ascii="仿宋_GB2312" w:hAnsi="仿宋_GB2312" w:eastAsia="仿宋_GB2312" w:cs="仿宋_GB2312"/>
          <w:sz w:val="28"/>
          <w:szCs w:val="28"/>
        </w:rPr>
      </w:pPr>
      <w:r>
        <w:rPr>
          <w:rFonts w:ascii="仿宋_GB2312" w:hAnsi="仿宋_GB2312" w:eastAsia="仿宋_GB2312" w:cs="仿宋_GB2312"/>
          <w:sz w:val="28"/>
          <w:szCs w:val="28"/>
        </w:rPr>
        <w:t>2.上述报价是建立在满足</w:t>
      </w:r>
      <w:r>
        <w:rPr>
          <w:rFonts w:hint="eastAsia" w:ascii="仿宋_GB2312" w:hAnsi="仿宋_GB2312" w:eastAsia="仿宋_GB2312" w:cs="仿宋_GB2312"/>
          <w:sz w:val="28"/>
          <w:szCs w:val="28"/>
        </w:rPr>
        <w:t>比选文件要求的基础上，所有与之相关费用。</w:t>
      </w:r>
    </w:p>
    <w:p>
      <w:pPr>
        <w:spacing w:line="560" w:lineRule="exact"/>
        <w:rPr>
          <w:rFonts w:ascii="仿宋_GB2312" w:hAnsi="仿宋_GB2312" w:eastAsia="仿宋_GB2312" w:cs="仿宋_GB2312"/>
          <w:sz w:val="28"/>
          <w:szCs w:val="28"/>
        </w:rPr>
      </w:pPr>
    </w:p>
    <w:p>
      <w:pPr>
        <w:spacing w:line="560" w:lineRule="exact"/>
        <w:ind w:right="640"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比选申请人：</w:t>
      </w:r>
      <w:r>
        <w:rPr>
          <w:rFonts w:ascii="仿宋_GB2312" w:hAnsi="仿宋_GB2312" w:eastAsia="仿宋_GB2312" w:cs="仿宋_GB2312"/>
          <w:sz w:val="28"/>
          <w:szCs w:val="28"/>
        </w:rPr>
        <w:t xml:space="preserve">                （单位盖章）</w:t>
      </w:r>
    </w:p>
    <w:p>
      <w:pPr>
        <w:spacing w:line="56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rPr>
        <w:t>法定代表人（负责人）</w:t>
      </w:r>
      <w:r>
        <w:rPr>
          <w:rFonts w:hint="eastAsia" w:ascii="仿宋_GB2312" w:hAnsi="仿宋_GB2312" w:eastAsia="仿宋_GB2312" w:cs="仿宋_GB2312"/>
          <w:sz w:val="28"/>
          <w:szCs w:val="28"/>
        </w:rPr>
        <w:t>或授权代理人：</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（签字）</w:t>
      </w:r>
    </w:p>
    <w:p>
      <w:pPr>
        <w:spacing w:line="560" w:lineRule="exact"/>
        <w:ind w:firstLine="630" w:firstLineChars="225"/>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年</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w:t>
      </w:r>
    </w:p>
    <w:p>
      <w:pPr>
        <w:ind w:right="1120"/>
        <w:rPr>
          <w:rFonts w:asciiTheme="majorEastAsia" w:hAnsiTheme="majorEastAsia" w:eastAsiaTheme="majorEastAsia"/>
          <w:sz w:val="28"/>
          <w:szCs w:val="28"/>
        </w:rPr>
      </w:pPr>
      <w:r>
        <w:rPr>
          <w:rFonts w:asciiTheme="majorEastAsia" w:hAnsiTheme="majorEastAsia" w:eastAsiaTheme="majorEastAsia"/>
          <w:sz w:val="28"/>
          <w:szCs w:val="28"/>
        </w:rPr>
        <w:br w:type="page"/>
      </w:r>
    </w:p>
    <w:p>
      <w:pPr>
        <w:pStyle w:val="6"/>
        <w:ind w:left="0" w:firstLine="0" w:firstLineChars="0"/>
        <w:rPr>
          <w:rFonts w:asciiTheme="majorEastAsia" w:hAnsiTheme="majorEastAsia" w:eastAsiaTheme="majorEastAsia"/>
          <w:b/>
        </w:rPr>
      </w:pPr>
      <w:bookmarkStart w:id="13" w:name="_Toc96874731"/>
      <w:bookmarkStart w:id="14" w:name="_Toc498423074"/>
      <w:bookmarkStart w:id="15" w:name="_Toc96874886"/>
      <w:r>
        <w:rPr>
          <w:rFonts w:hint="eastAsia" w:asciiTheme="majorEastAsia" w:hAnsiTheme="majorEastAsia" w:eastAsiaTheme="majorEastAsia"/>
        </w:rPr>
        <w:t>二.法定代表人（负责人）身份证明</w:t>
      </w:r>
      <w:bookmarkEnd w:id="13"/>
      <w:bookmarkEnd w:id="14"/>
      <w:bookmarkEnd w:id="15"/>
    </w:p>
    <w:p>
      <w:pPr>
        <w:spacing w:line="6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法定代表人（负责人）身份证明</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28"/>
        </w:rPr>
        <w:t>申请人名称：</w:t>
      </w:r>
      <w:r>
        <w:rPr>
          <w:rFonts w:ascii="仿宋_GB2312" w:hAnsi="仿宋_GB2312" w:eastAsia="仿宋_GB2312" w:cs="仿宋_GB2312"/>
          <w:sz w:val="24"/>
          <w:u w:val="single"/>
        </w:rPr>
        <w:t xml:space="preserve">            </w:t>
      </w:r>
      <w:r>
        <w:rPr>
          <w:rFonts w:ascii="仿宋_GB2312" w:hAnsi="仿宋_GB2312" w:eastAsia="仿宋_GB2312" w:cs="仿宋_GB2312"/>
          <w:sz w:val="32"/>
          <w:u w:val="single"/>
        </w:rPr>
        <w:t xml:space="preserve">                          </w:t>
      </w:r>
    </w:p>
    <w:p>
      <w:pPr>
        <w:spacing w:line="560" w:lineRule="exact"/>
        <w:rPr>
          <w:rFonts w:ascii="仿宋_GB2312" w:hAnsi="仿宋_GB2312" w:eastAsia="仿宋_GB2312" w:cs="仿宋_GB2312"/>
          <w:sz w:val="28"/>
        </w:rPr>
      </w:pPr>
      <w:r>
        <w:rPr>
          <w:rFonts w:hint="eastAsia" w:ascii="仿宋_GB2312" w:hAnsi="仿宋_GB2312" w:eastAsia="仿宋_GB2312" w:cs="仿宋_GB2312"/>
          <w:sz w:val="28"/>
        </w:rPr>
        <w:t>单位性质：</w:t>
      </w:r>
      <w:r>
        <w:rPr>
          <w:rFonts w:ascii="仿宋_GB2312" w:hAnsi="仿宋_GB2312" w:eastAsia="仿宋_GB2312" w:cs="仿宋_GB2312"/>
          <w:sz w:val="28"/>
          <w:u w:val="single"/>
        </w:rPr>
        <w:t xml:space="preserve">                                          </w:t>
      </w:r>
    </w:p>
    <w:p>
      <w:pPr>
        <w:spacing w:line="560" w:lineRule="exact"/>
        <w:rPr>
          <w:rFonts w:ascii="仿宋_GB2312" w:hAnsi="仿宋_GB2312" w:eastAsia="仿宋_GB2312" w:cs="仿宋_GB2312"/>
          <w:sz w:val="28"/>
        </w:rPr>
      </w:pPr>
      <w:r>
        <w:rPr>
          <w:rFonts w:hint="eastAsia" w:ascii="仿宋_GB2312" w:hAnsi="仿宋_GB2312" w:eastAsia="仿宋_GB2312" w:cs="仿宋_GB2312"/>
          <w:sz w:val="28"/>
        </w:rPr>
        <w:t>地址：</w:t>
      </w:r>
      <w:r>
        <w:rPr>
          <w:rFonts w:ascii="仿宋_GB2312" w:hAnsi="仿宋_GB2312" w:eastAsia="仿宋_GB2312" w:cs="仿宋_GB2312"/>
          <w:sz w:val="28"/>
          <w:u w:val="single"/>
        </w:rPr>
        <w:t xml:space="preserve">                                              </w:t>
      </w:r>
    </w:p>
    <w:p>
      <w:pPr>
        <w:spacing w:line="560" w:lineRule="exact"/>
        <w:rPr>
          <w:rFonts w:ascii="仿宋_GB2312" w:hAnsi="仿宋_GB2312" w:eastAsia="仿宋_GB2312" w:cs="仿宋_GB2312"/>
          <w:sz w:val="28"/>
        </w:rPr>
      </w:pPr>
      <w:r>
        <w:rPr>
          <w:rFonts w:hint="eastAsia" w:ascii="仿宋_GB2312" w:hAnsi="仿宋_GB2312" w:eastAsia="仿宋_GB2312" w:cs="仿宋_GB2312"/>
          <w:sz w:val="28"/>
        </w:rPr>
        <w:t>成立时间：</w:t>
      </w:r>
      <w:r>
        <w:rPr>
          <w:rFonts w:ascii="仿宋_GB2312" w:hAnsi="仿宋_GB2312" w:eastAsia="仿宋_GB2312" w:cs="仿宋_GB2312"/>
          <w:sz w:val="28"/>
          <w:u w:val="single"/>
        </w:rPr>
        <w:t xml:space="preserve">                                          </w:t>
      </w:r>
    </w:p>
    <w:p>
      <w:pPr>
        <w:spacing w:line="560" w:lineRule="exact"/>
        <w:rPr>
          <w:rFonts w:ascii="仿宋_GB2312" w:hAnsi="仿宋_GB2312" w:eastAsia="仿宋_GB2312" w:cs="仿宋_GB2312"/>
          <w:sz w:val="28"/>
        </w:rPr>
      </w:pPr>
      <w:r>
        <w:rPr>
          <w:rFonts w:hint="eastAsia" w:ascii="仿宋_GB2312" w:hAnsi="仿宋_GB2312" w:eastAsia="仿宋_GB2312" w:cs="仿宋_GB2312"/>
          <w:sz w:val="28"/>
        </w:rPr>
        <w:t>经营期限：</w:t>
      </w:r>
      <w:r>
        <w:rPr>
          <w:rFonts w:ascii="仿宋_GB2312" w:hAnsi="仿宋_GB2312" w:eastAsia="仿宋_GB2312" w:cs="仿宋_GB2312"/>
          <w:sz w:val="28"/>
          <w:u w:val="single"/>
        </w:rPr>
        <w:t xml:space="preserve">                </w:t>
      </w:r>
      <w:r>
        <w:rPr>
          <w:rFonts w:hint="eastAsia" w:ascii="仿宋_GB2312" w:hAnsi="仿宋_GB2312" w:eastAsia="仿宋_GB2312" w:cs="仿宋_GB2312"/>
          <w:sz w:val="28"/>
          <w:u w:val="single"/>
        </w:rPr>
        <w:t xml:space="preserve"> </w:t>
      </w:r>
      <w:r>
        <w:rPr>
          <w:rFonts w:ascii="仿宋_GB2312" w:hAnsi="仿宋_GB2312" w:eastAsia="仿宋_GB2312" w:cs="仿宋_GB2312"/>
          <w:sz w:val="28"/>
          <w:u w:val="single"/>
        </w:rPr>
        <w:t xml:space="preserve">                         </w:t>
      </w:r>
    </w:p>
    <w:p>
      <w:pPr>
        <w:spacing w:line="560" w:lineRule="exact"/>
        <w:rPr>
          <w:rFonts w:ascii="仿宋_GB2312" w:hAnsi="仿宋_GB2312" w:eastAsia="仿宋_GB2312" w:cs="仿宋_GB2312"/>
          <w:sz w:val="28"/>
        </w:rPr>
      </w:pPr>
      <w:r>
        <w:rPr>
          <w:rFonts w:hint="eastAsia" w:ascii="仿宋_GB2312" w:hAnsi="仿宋_GB2312" w:eastAsia="仿宋_GB2312" w:cs="仿宋_GB2312"/>
          <w:sz w:val="28"/>
        </w:rPr>
        <w:t>姓名：</w:t>
      </w:r>
      <w:r>
        <w:rPr>
          <w:rFonts w:ascii="仿宋_GB2312" w:hAnsi="仿宋_GB2312" w:eastAsia="仿宋_GB2312" w:cs="仿宋_GB2312"/>
          <w:sz w:val="28"/>
          <w:u w:val="single"/>
        </w:rPr>
        <w:t xml:space="preserve">        </w:t>
      </w:r>
      <w:r>
        <w:rPr>
          <w:rFonts w:hint="eastAsia" w:ascii="仿宋_GB2312" w:hAnsi="仿宋_GB2312" w:eastAsia="仿宋_GB2312" w:cs="仿宋_GB2312"/>
          <w:u w:val="single"/>
        </w:rPr>
        <w:t>（法定代表人（负责人）签字）</w:t>
      </w:r>
      <w:r>
        <w:rPr>
          <w:rFonts w:hint="eastAsia" w:ascii="仿宋_GB2312" w:hAnsi="仿宋_GB2312" w:eastAsia="仿宋_GB2312" w:cs="仿宋_GB2312"/>
          <w:sz w:val="28"/>
        </w:rPr>
        <w:t>性别：</w:t>
      </w:r>
      <w:r>
        <w:rPr>
          <w:rFonts w:ascii="仿宋_GB2312" w:hAnsi="仿宋_GB2312" w:eastAsia="仿宋_GB2312" w:cs="仿宋_GB2312"/>
          <w:sz w:val="28"/>
          <w:u w:val="single"/>
        </w:rPr>
        <w:t xml:space="preserve">      </w:t>
      </w:r>
      <w:r>
        <w:rPr>
          <w:rFonts w:hint="eastAsia" w:ascii="仿宋_GB2312" w:hAnsi="仿宋_GB2312" w:eastAsia="仿宋_GB2312" w:cs="仿宋_GB2312"/>
          <w:sz w:val="28"/>
        </w:rPr>
        <w:t>年龄：</w:t>
      </w:r>
      <w:r>
        <w:rPr>
          <w:rFonts w:ascii="仿宋_GB2312" w:hAnsi="仿宋_GB2312" w:eastAsia="仿宋_GB2312" w:cs="仿宋_GB2312"/>
          <w:sz w:val="28"/>
          <w:u w:val="single"/>
        </w:rPr>
        <w:t xml:space="preserve">      </w:t>
      </w:r>
    </w:p>
    <w:p>
      <w:pPr>
        <w:spacing w:line="560" w:lineRule="exact"/>
        <w:rPr>
          <w:rFonts w:ascii="仿宋_GB2312" w:hAnsi="仿宋_GB2312" w:eastAsia="仿宋_GB2312" w:cs="仿宋_GB2312"/>
          <w:sz w:val="28"/>
        </w:rPr>
      </w:pPr>
      <w:r>
        <w:rPr>
          <w:rFonts w:hint="eastAsia" w:ascii="仿宋_GB2312" w:hAnsi="仿宋_GB2312" w:eastAsia="仿宋_GB2312" w:cs="仿宋_GB2312"/>
          <w:sz w:val="28"/>
        </w:rPr>
        <w:t>职务：</w:t>
      </w:r>
      <w:r>
        <w:rPr>
          <w:rFonts w:ascii="仿宋_GB2312" w:hAnsi="仿宋_GB2312" w:eastAsia="仿宋_GB2312" w:cs="仿宋_GB2312"/>
          <w:sz w:val="28"/>
          <w:u w:val="single"/>
        </w:rPr>
        <w:t xml:space="preserve">         </w:t>
      </w:r>
      <w:r>
        <w:rPr>
          <w:rFonts w:hint="eastAsia" w:ascii="仿宋_GB2312" w:hAnsi="仿宋_GB2312" w:eastAsia="仿宋_GB2312" w:cs="仿宋_GB2312"/>
          <w:sz w:val="28"/>
        </w:rPr>
        <w:t>系</w:t>
      </w:r>
      <w:r>
        <w:rPr>
          <w:rFonts w:ascii="仿宋_GB2312" w:hAnsi="仿宋_GB2312" w:eastAsia="仿宋_GB2312" w:cs="仿宋_GB2312"/>
          <w:sz w:val="28"/>
          <w:u w:val="single"/>
        </w:rPr>
        <w:t xml:space="preserve">                     </w:t>
      </w:r>
      <w:r>
        <w:rPr>
          <w:rFonts w:hint="eastAsia" w:ascii="仿宋_GB2312" w:hAnsi="仿宋_GB2312" w:eastAsia="仿宋_GB2312" w:cs="仿宋_GB2312"/>
          <w:u w:val="single"/>
        </w:rPr>
        <w:t>（申请人名称）</w:t>
      </w:r>
      <w:r>
        <w:rPr>
          <w:rFonts w:hint="eastAsia" w:ascii="仿宋_GB2312" w:hAnsi="仿宋_GB2312" w:eastAsia="仿宋_GB2312" w:cs="仿宋_GB2312"/>
          <w:sz w:val="28"/>
        </w:rPr>
        <w:t>的法定代表人（负责人）。</w:t>
      </w:r>
    </w:p>
    <w:p>
      <w:pPr>
        <w:spacing w:line="560" w:lineRule="exact"/>
        <w:ind w:firstLine="420" w:firstLineChars="150"/>
        <w:rPr>
          <w:rFonts w:ascii="仿宋_GB2312" w:hAnsi="仿宋_GB2312" w:eastAsia="仿宋_GB2312" w:cs="仿宋_GB2312"/>
          <w:sz w:val="28"/>
        </w:rPr>
      </w:pPr>
      <w:r>
        <w:rPr>
          <w:rFonts w:hint="eastAsia" w:ascii="仿宋_GB2312" w:hAnsi="仿宋_GB2312" w:eastAsia="仿宋_GB2312" w:cs="仿宋_GB2312"/>
          <w:sz w:val="28"/>
        </w:rPr>
        <w:t>特此证明。</w:t>
      </w:r>
    </w:p>
    <w:p>
      <w:pPr>
        <w:spacing w:line="560" w:lineRule="exact"/>
        <w:rPr>
          <w:rFonts w:ascii="仿宋_GB2312" w:hAnsi="仿宋_GB2312" w:eastAsia="仿宋_GB2312" w:cs="仿宋_GB2312"/>
          <w:sz w:val="28"/>
        </w:rPr>
      </w:pPr>
    </w:p>
    <w:p>
      <w:pPr>
        <w:spacing w:line="560" w:lineRule="exact"/>
        <w:rPr>
          <w:rFonts w:ascii="仿宋_GB2312" w:hAnsi="仿宋_GB2312" w:eastAsia="仿宋_GB2312" w:cs="仿宋_GB2312"/>
          <w:sz w:val="28"/>
        </w:rPr>
      </w:pPr>
      <w:r>
        <w:rPr>
          <w:rFonts w:ascii="仿宋_GB2312" w:hAnsi="仿宋_GB2312" w:eastAsia="仿宋_GB2312" w:cs="仿宋_GB2312"/>
          <w:sz w:val="28"/>
        </w:rPr>
        <w:t xml:space="preserve">              比选</w:t>
      </w:r>
      <w:r>
        <w:rPr>
          <w:rFonts w:hint="eastAsia" w:ascii="仿宋_GB2312" w:hAnsi="仿宋_GB2312" w:eastAsia="仿宋_GB2312" w:cs="仿宋_GB2312"/>
          <w:sz w:val="28"/>
        </w:rPr>
        <w:t>申请人：</w:t>
      </w:r>
      <w:r>
        <w:rPr>
          <w:rFonts w:hint="eastAsia" w:ascii="仿宋_GB2312" w:hAnsi="仿宋_GB2312" w:eastAsia="仿宋_GB2312" w:cs="仿宋_GB2312"/>
          <w:sz w:val="28"/>
          <w:u w:val="single"/>
        </w:rPr>
        <w:t xml:space="preserve"> </w:t>
      </w:r>
      <w:r>
        <w:rPr>
          <w:rFonts w:ascii="仿宋_GB2312" w:hAnsi="仿宋_GB2312" w:eastAsia="仿宋_GB2312" w:cs="仿宋_GB2312"/>
          <w:sz w:val="28"/>
          <w:u w:val="single"/>
        </w:rPr>
        <w:t xml:space="preserve">                        </w:t>
      </w:r>
      <w:r>
        <w:rPr>
          <w:rFonts w:hint="eastAsia" w:ascii="仿宋_GB2312" w:hAnsi="仿宋_GB2312" w:eastAsia="仿宋_GB2312" w:cs="仿宋_GB2312"/>
          <w:sz w:val="28"/>
        </w:rPr>
        <w:t>（盖章）</w:t>
      </w:r>
    </w:p>
    <w:p>
      <w:pPr>
        <w:spacing w:line="560" w:lineRule="exact"/>
        <w:ind w:firstLine="5740" w:firstLineChars="2050"/>
        <w:rPr>
          <w:rFonts w:asciiTheme="majorEastAsia" w:hAnsiTheme="majorEastAsia" w:eastAsiaTheme="majorEastAsia"/>
        </w:rPr>
      </w:pPr>
      <w:r>
        <w:rPr>
          <w:rFonts w:hint="eastAsia" w:ascii="仿宋_GB2312" w:hAnsi="仿宋_GB2312" w:eastAsia="仿宋_GB2312" w:cs="仿宋_GB2312"/>
          <w:sz w:val="28"/>
        </w:rPr>
        <w:t>年</w:t>
      </w:r>
      <w:r>
        <w:rPr>
          <w:rFonts w:ascii="仿宋_GB2312" w:hAnsi="仿宋_GB2312" w:eastAsia="仿宋_GB2312" w:cs="仿宋_GB2312"/>
          <w:sz w:val="28"/>
        </w:rPr>
        <w:t xml:space="preserve">  </w:t>
      </w:r>
      <w:r>
        <w:rPr>
          <w:rFonts w:hint="eastAsia" w:ascii="仿宋_GB2312" w:hAnsi="仿宋_GB2312" w:eastAsia="仿宋_GB2312" w:cs="仿宋_GB2312"/>
          <w:sz w:val="28"/>
        </w:rPr>
        <w:t xml:space="preserve"> 月</w:t>
      </w:r>
      <w:r>
        <w:rPr>
          <w:rFonts w:ascii="仿宋_GB2312" w:hAnsi="仿宋_GB2312" w:eastAsia="仿宋_GB2312" w:cs="仿宋_GB2312"/>
          <w:sz w:val="28"/>
        </w:rPr>
        <w:t xml:space="preserve">  </w:t>
      </w:r>
      <w:r>
        <w:rPr>
          <w:rFonts w:hint="eastAsia" w:ascii="仿宋_GB2312" w:hAnsi="仿宋_GB2312" w:eastAsia="仿宋_GB2312" w:cs="仿宋_GB2312"/>
          <w:sz w:val="28"/>
        </w:rPr>
        <w:t xml:space="preserve"> 日</w:t>
      </w:r>
    </w:p>
    <w:p>
      <w:pPr>
        <w:rPr>
          <w:rFonts w:asciiTheme="majorEastAsia" w:hAnsiTheme="majorEastAsia" w:eastAsiaTheme="majorEastAsia"/>
          <w:b/>
        </w:rPr>
      </w:pPr>
    </w:p>
    <w:p>
      <w:pPr>
        <w:rPr>
          <w:rFonts w:asciiTheme="majorEastAsia" w:hAnsiTheme="majorEastAsia" w:eastAsiaTheme="majorEastAsia"/>
        </w:rPr>
      </w:pPr>
    </w:p>
    <w:p>
      <w:pPr>
        <w:spacing w:after="0" w:line="360" w:lineRule="auto"/>
        <w:rPr>
          <w:rFonts w:asciiTheme="majorEastAsia" w:hAnsiTheme="majorEastAsia" w:eastAsiaTheme="majorEastAsia"/>
        </w:rPr>
      </w:pPr>
      <w:r>
        <w:rPr>
          <w:rFonts w:hint="eastAsia" w:asciiTheme="majorEastAsia" w:hAnsiTheme="majorEastAsia" w:eastAsiaTheme="majorEastAsia"/>
        </w:rPr>
        <w:t>注：1.法定代表人（负责人）的签字必须是亲笔签名，不得使用印章、签名章或其他电子制版签名；</w:t>
      </w:r>
    </w:p>
    <w:p>
      <w:pPr>
        <w:spacing w:after="0" w:line="360" w:lineRule="auto"/>
        <w:rPr>
          <w:rFonts w:asciiTheme="majorEastAsia" w:hAnsiTheme="majorEastAsia" w:eastAsiaTheme="majorEastAsia"/>
        </w:rPr>
      </w:pPr>
      <w:r>
        <w:rPr>
          <w:rFonts w:hint="eastAsia" w:asciiTheme="majorEastAsia" w:hAnsiTheme="majorEastAsia" w:eastAsiaTheme="majorEastAsia"/>
        </w:rPr>
        <w:t xml:space="preserve">    2.后附法定代表人（负责人）的身份证复印件（彩色或黑白），并盖公章。</w:t>
      </w:r>
      <w:bookmarkStart w:id="16" w:name="_Toc498423075"/>
    </w:p>
    <w:p>
      <w:pPr>
        <w:pStyle w:val="6"/>
        <w:ind w:left="0" w:firstLine="0" w:firstLineChars="0"/>
        <w:rPr>
          <w:rFonts w:asciiTheme="majorEastAsia" w:hAnsiTheme="majorEastAsia" w:eastAsiaTheme="majorEastAsia"/>
        </w:rPr>
      </w:pPr>
      <w:r>
        <w:rPr>
          <w:rFonts w:asciiTheme="majorEastAsia" w:hAnsiTheme="majorEastAsia" w:eastAsiaTheme="majorEastAsia"/>
        </w:rPr>
        <w:br w:type="page"/>
      </w:r>
    </w:p>
    <w:p>
      <w:pPr>
        <w:pStyle w:val="6"/>
        <w:ind w:left="0" w:firstLine="0" w:firstLineChars="0"/>
        <w:rPr>
          <w:rFonts w:asciiTheme="majorEastAsia" w:hAnsiTheme="majorEastAsia" w:eastAsiaTheme="majorEastAsia"/>
        </w:rPr>
      </w:pPr>
      <w:bookmarkStart w:id="17" w:name="_Toc96874887"/>
      <w:bookmarkStart w:id="18" w:name="_Toc96874732"/>
      <w:r>
        <w:rPr>
          <w:rFonts w:hint="eastAsia" w:asciiTheme="majorEastAsia" w:hAnsiTheme="majorEastAsia" w:eastAsiaTheme="majorEastAsia"/>
        </w:rPr>
        <w:t>三.授权委托书（如有）</w:t>
      </w:r>
      <w:bookmarkEnd w:id="16"/>
      <w:bookmarkEnd w:id="17"/>
      <w:bookmarkEnd w:id="18"/>
    </w:p>
    <w:p>
      <w:pPr>
        <w:spacing w:line="6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授权委托书</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ascii="仿宋_GB2312" w:hAnsi="仿宋_GB2312" w:eastAsia="仿宋_GB2312" w:cs="仿宋_GB2312"/>
          <w:sz w:val="28"/>
        </w:rPr>
      </w:pPr>
      <w:r>
        <w:rPr>
          <w:rFonts w:hint="eastAsia" w:ascii="仿宋_GB2312" w:hAnsi="仿宋_GB2312" w:eastAsia="仿宋_GB2312" w:cs="仿宋_GB2312"/>
          <w:sz w:val="28"/>
        </w:rPr>
        <w:t>本人</w:t>
      </w:r>
      <w:r>
        <w:rPr>
          <w:rFonts w:ascii="仿宋_GB2312" w:hAnsi="仿宋_GB2312" w:eastAsia="仿宋_GB2312" w:cs="仿宋_GB2312"/>
          <w:sz w:val="28"/>
          <w:u w:val="single"/>
        </w:rPr>
        <w:t xml:space="preserve">   （姓名）</w:t>
      </w:r>
      <w:r>
        <w:rPr>
          <w:rFonts w:hint="eastAsia" w:ascii="仿宋_GB2312" w:hAnsi="仿宋_GB2312" w:eastAsia="仿宋_GB2312" w:cs="仿宋_GB2312"/>
          <w:sz w:val="28"/>
        </w:rPr>
        <w:t>系</w:t>
      </w:r>
      <w:r>
        <w:rPr>
          <w:rFonts w:ascii="仿宋_GB2312" w:hAnsi="仿宋_GB2312" w:eastAsia="仿宋_GB2312" w:cs="仿宋_GB2312"/>
          <w:sz w:val="28"/>
          <w:u w:val="single"/>
        </w:rPr>
        <w:t xml:space="preserve">                  （</w:t>
      </w:r>
      <w:r>
        <w:rPr>
          <w:rFonts w:hint="eastAsia" w:ascii="仿宋_GB2312" w:hAnsi="仿宋_GB2312" w:eastAsia="仿宋_GB2312" w:cs="仿宋_GB2312"/>
          <w:sz w:val="28"/>
          <w:u w:val="single"/>
        </w:rPr>
        <w:t>申请人名称）</w:t>
      </w:r>
      <w:r>
        <w:rPr>
          <w:rFonts w:hint="eastAsia" w:ascii="仿宋_GB2312" w:hAnsi="仿宋_GB2312" w:eastAsia="仿宋_GB2312" w:cs="仿宋_GB2312"/>
          <w:sz w:val="28"/>
        </w:rPr>
        <w:t>法定代表人（负责人），现委托</w:t>
      </w:r>
      <w:r>
        <w:rPr>
          <w:rFonts w:ascii="仿宋_GB2312" w:hAnsi="仿宋_GB2312" w:eastAsia="仿宋_GB2312" w:cs="仿宋_GB2312"/>
          <w:sz w:val="28"/>
          <w:u w:val="single"/>
        </w:rPr>
        <w:t xml:space="preserve">           （姓名）</w:t>
      </w:r>
      <w:r>
        <w:rPr>
          <w:rFonts w:hint="eastAsia" w:ascii="仿宋_GB2312" w:hAnsi="仿宋_GB2312" w:eastAsia="仿宋_GB2312" w:cs="仿宋_GB2312"/>
          <w:sz w:val="28"/>
        </w:rPr>
        <w:t>为我方代理人。代理人根据授权，以我方名义签署、澄清、说明、补正、递交、撤回、修改</w:t>
      </w:r>
      <w:r>
        <w:rPr>
          <w:rFonts w:hint="eastAsia" w:ascii="仿宋_GB2312" w:hAnsi="仿宋_GB2312" w:eastAsia="仿宋_GB2312" w:cs="仿宋_GB2312"/>
          <w:sz w:val="28"/>
          <w:szCs w:val="28"/>
        </w:rPr>
        <w:t>四川蜀道铁路运营管理集团有限责任公司常年税务顾问服务项目比选申请文件</w:t>
      </w:r>
      <w:r>
        <w:rPr>
          <w:rFonts w:hint="eastAsia" w:ascii="仿宋_GB2312" w:hAnsi="仿宋_GB2312" w:eastAsia="仿宋_GB2312" w:cs="仿宋_GB2312"/>
          <w:sz w:val="28"/>
        </w:rPr>
        <w:t>及处理有关事宜，其法律后果由我方承担。</w:t>
      </w:r>
    </w:p>
    <w:p>
      <w:pPr>
        <w:keepNext w:val="0"/>
        <w:keepLines w:val="0"/>
        <w:pageBreakBefore w:val="0"/>
        <w:widowControl/>
        <w:kinsoku/>
        <w:wordWrap/>
        <w:overflowPunct/>
        <w:topLinePunct w:val="0"/>
        <w:autoSpaceDE/>
        <w:autoSpaceDN/>
        <w:bidi w:val="0"/>
        <w:adjustRightInd w:val="0"/>
        <w:snapToGrid w:val="0"/>
        <w:spacing w:before="156" w:line="240" w:lineRule="auto"/>
        <w:ind w:firstLine="700" w:firstLineChars="25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委托期限：本项目比选有效期内。</w:t>
      </w:r>
    </w:p>
    <w:p>
      <w:pPr>
        <w:keepNext w:val="0"/>
        <w:keepLines w:val="0"/>
        <w:pageBreakBefore w:val="0"/>
        <w:widowControl/>
        <w:kinsoku/>
        <w:wordWrap/>
        <w:overflowPunct/>
        <w:topLinePunct w:val="0"/>
        <w:autoSpaceDE/>
        <w:autoSpaceDN/>
        <w:bidi w:val="0"/>
        <w:adjustRightInd w:val="0"/>
        <w:snapToGrid w:val="0"/>
        <w:spacing w:before="156" w:line="240" w:lineRule="auto"/>
        <w:ind w:firstLine="700" w:firstLineChars="25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代理人无转委托权。</w:t>
      </w:r>
    </w:p>
    <w:p>
      <w:pPr>
        <w:spacing w:before="156" w:line="560" w:lineRule="exact"/>
        <w:rPr>
          <w:rFonts w:ascii="仿宋_GB2312" w:hAnsi="仿宋_GB2312" w:eastAsia="仿宋_GB2312" w:cs="仿宋_GB2312"/>
          <w:sz w:val="28"/>
        </w:rPr>
      </w:pPr>
      <w:r>
        <w:rPr>
          <w:rFonts w:hint="eastAsia" w:ascii="仿宋_GB2312" w:hAnsi="仿宋_GB2312" w:eastAsia="仿宋_GB2312" w:cs="仿宋_GB2312"/>
          <w:sz w:val="28"/>
        </w:rPr>
        <w:t>比选申请人：</w:t>
      </w:r>
      <w:r>
        <w:rPr>
          <w:rFonts w:ascii="仿宋_GB2312" w:hAnsi="仿宋_GB2312" w:eastAsia="仿宋_GB2312" w:cs="仿宋_GB2312"/>
          <w:sz w:val="28"/>
          <w:u w:val="single"/>
        </w:rPr>
        <w:t xml:space="preserve">                                  </w:t>
      </w:r>
      <w:r>
        <w:rPr>
          <w:rFonts w:ascii="仿宋_GB2312" w:hAnsi="仿宋_GB2312" w:eastAsia="仿宋_GB2312" w:cs="仿宋_GB2312"/>
          <w:sz w:val="28"/>
        </w:rPr>
        <w:t>（盖章）</w:t>
      </w:r>
    </w:p>
    <w:p>
      <w:pPr>
        <w:spacing w:before="156" w:line="560" w:lineRule="exact"/>
        <w:rPr>
          <w:rFonts w:ascii="仿宋_GB2312" w:hAnsi="仿宋_GB2312" w:eastAsia="仿宋_GB2312" w:cs="仿宋_GB2312"/>
          <w:sz w:val="28"/>
        </w:rPr>
      </w:pPr>
      <w:r>
        <w:rPr>
          <w:rFonts w:hint="eastAsia" w:ascii="仿宋_GB2312" w:hAnsi="仿宋_GB2312" w:eastAsia="仿宋_GB2312" w:cs="仿宋_GB2312"/>
          <w:sz w:val="28"/>
        </w:rPr>
        <w:t>法定代表人（负责人）：</w:t>
      </w:r>
      <w:r>
        <w:rPr>
          <w:rFonts w:ascii="仿宋_GB2312" w:hAnsi="仿宋_GB2312" w:eastAsia="仿宋_GB2312" w:cs="仿宋_GB2312"/>
          <w:sz w:val="28"/>
          <w:u w:val="single"/>
        </w:rPr>
        <w:t xml:space="preserve">                  </w:t>
      </w:r>
      <w:r>
        <w:rPr>
          <w:rFonts w:ascii="仿宋_GB2312" w:hAnsi="仿宋_GB2312" w:eastAsia="仿宋_GB2312" w:cs="仿宋_GB2312"/>
          <w:sz w:val="28"/>
        </w:rPr>
        <w:t>（签字）</w:t>
      </w:r>
    </w:p>
    <w:p>
      <w:pPr>
        <w:spacing w:before="156" w:line="560" w:lineRule="exact"/>
        <w:rPr>
          <w:rFonts w:ascii="仿宋_GB2312" w:hAnsi="仿宋_GB2312" w:eastAsia="仿宋_GB2312" w:cs="仿宋_GB2312"/>
          <w:sz w:val="28"/>
        </w:rPr>
      </w:pPr>
      <w:r>
        <w:rPr>
          <w:rFonts w:hint="eastAsia" w:ascii="仿宋_GB2312" w:hAnsi="仿宋_GB2312" w:eastAsia="仿宋_GB2312" w:cs="仿宋_GB2312"/>
          <w:sz w:val="28"/>
        </w:rPr>
        <w:t>身份证号码：</w:t>
      </w:r>
      <w:r>
        <w:rPr>
          <w:rFonts w:ascii="仿宋_GB2312" w:hAnsi="仿宋_GB2312" w:eastAsia="仿宋_GB2312" w:cs="仿宋_GB2312"/>
          <w:sz w:val="28"/>
          <w:u w:val="single"/>
        </w:rPr>
        <w:t xml:space="preserve">                             </w:t>
      </w:r>
    </w:p>
    <w:p>
      <w:pPr>
        <w:spacing w:before="156" w:line="560" w:lineRule="exact"/>
        <w:rPr>
          <w:rFonts w:ascii="仿宋_GB2312" w:hAnsi="仿宋_GB2312" w:eastAsia="仿宋_GB2312" w:cs="仿宋_GB2312"/>
          <w:sz w:val="28"/>
        </w:rPr>
      </w:pPr>
      <w:r>
        <w:rPr>
          <w:rFonts w:hint="eastAsia" w:ascii="仿宋_GB2312" w:hAnsi="仿宋_GB2312" w:eastAsia="仿宋_GB2312" w:cs="仿宋_GB2312"/>
          <w:sz w:val="28"/>
        </w:rPr>
        <w:t>授权代理人：</w:t>
      </w:r>
      <w:r>
        <w:rPr>
          <w:rFonts w:ascii="仿宋_GB2312" w:hAnsi="仿宋_GB2312" w:eastAsia="仿宋_GB2312" w:cs="仿宋_GB2312"/>
          <w:sz w:val="28"/>
          <w:u w:val="single"/>
        </w:rPr>
        <w:t xml:space="preserve">                             </w:t>
      </w:r>
      <w:r>
        <w:rPr>
          <w:rFonts w:ascii="仿宋_GB2312" w:hAnsi="仿宋_GB2312" w:eastAsia="仿宋_GB2312" w:cs="仿宋_GB2312"/>
          <w:sz w:val="28"/>
        </w:rPr>
        <w:t>（签字）</w:t>
      </w:r>
    </w:p>
    <w:p>
      <w:pPr>
        <w:spacing w:before="156" w:line="560" w:lineRule="exact"/>
        <w:rPr>
          <w:rFonts w:ascii="仿宋_GB2312" w:hAnsi="仿宋_GB2312" w:eastAsia="仿宋_GB2312" w:cs="仿宋_GB2312"/>
          <w:sz w:val="28"/>
        </w:rPr>
      </w:pPr>
      <w:r>
        <w:rPr>
          <w:rFonts w:hint="eastAsia" w:ascii="仿宋_GB2312" w:hAnsi="仿宋_GB2312" w:eastAsia="仿宋_GB2312" w:cs="仿宋_GB2312"/>
          <w:sz w:val="28"/>
        </w:rPr>
        <w:t>身份证号码：</w:t>
      </w:r>
      <w:r>
        <w:rPr>
          <w:rFonts w:ascii="仿宋_GB2312" w:hAnsi="仿宋_GB2312" w:eastAsia="仿宋_GB2312" w:cs="仿宋_GB2312"/>
          <w:sz w:val="28"/>
          <w:u w:val="single"/>
        </w:rPr>
        <w:t xml:space="preserve">                             </w:t>
      </w:r>
    </w:p>
    <w:p>
      <w:pPr>
        <w:spacing w:before="156" w:line="560" w:lineRule="exact"/>
        <w:ind w:firstLine="5871" w:firstLineChars="2097"/>
        <w:rPr>
          <w:rFonts w:ascii="仿宋_GB2312" w:hAnsi="仿宋_GB2312" w:eastAsia="仿宋_GB2312" w:cs="仿宋_GB2312"/>
          <w:sz w:val="28"/>
        </w:rPr>
      </w:pPr>
      <w:r>
        <w:rPr>
          <w:rFonts w:hint="eastAsia" w:ascii="仿宋_GB2312" w:hAnsi="仿宋_GB2312" w:eastAsia="仿宋_GB2312" w:cs="仿宋_GB2312"/>
          <w:sz w:val="28"/>
        </w:rPr>
        <w:t>年</w:t>
      </w:r>
      <w:r>
        <w:rPr>
          <w:rFonts w:ascii="仿宋_GB2312" w:hAnsi="仿宋_GB2312" w:eastAsia="仿宋_GB2312" w:cs="仿宋_GB2312"/>
          <w:sz w:val="28"/>
        </w:rPr>
        <w:t xml:space="preserve">   </w:t>
      </w:r>
      <w:r>
        <w:rPr>
          <w:rFonts w:hint="eastAsia" w:ascii="仿宋_GB2312" w:hAnsi="仿宋_GB2312" w:eastAsia="仿宋_GB2312" w:cs="仿宋_GB2312"/>
          <w:sz w:val="28"/>
        </w:rPr>
        <w:t>月</w:t>
      </w:r>
      <w:r>
        <w:rPr>
          <w:rFonts w:ascii="仿宋_GB2312" w:hAnsi="仿宋_GB2312" w:eastAsia="仿宋_GB2312" w:cs="仿宋_GB2312"/>
          <w:sz w:val="28"/>
        </w:rPr>
        <w:t xml:space="preserve">   </w:t>
      </w:r>
      <w:r>
        <w:rPr>
          <w:rFonts w:hint="eastAsia" w:ascii="仿宋_GB2312" w:hAnsi="仿宋_GB2312" w:eastAsia="仿宋_GB2312" w:cs="仿宋_GB2312"/>
          <w:sz w:val="28"/>
        </w:rPr>
        <w:t>日</w:t>
      </w:r>
    </w:p>
    <w:p>
      <w:pPr>
        <w:spacing w:after="0" w:line="440" w:lineRule="exact"/>
        <w:rPr>
          <w:rFonts w:asciiTheme="majorEastAsia" w:hAnsiTheme="majorEastAsia" w:eastAsiaTheme="majorEastAsia"/>
        </w:rPr>
      </w:pPr>
      <w:r>
        <w:rPr>
          <w:rFonts w:hint="eastAsia" w:asciiTheme="majorEastAsia" w:hAnsiTheme="majorEastAsia" w:eastAsiaTheme="majorEastAsia"/>
        </w:rPr>
        <w:t>注：1.如果比选申请文件由授权代理人签署，则申请人须提交授权委托书，授权委托书须满足下列要求：</w:t>
      </w:r>
    </w:p>
    <w:p>
      <w:pPr>
        <w:spacing w:after="0" w:line="440" w:lineRule="exact"/>
        <w:ind w:firstLine="323" w:firstLineChars="147"/>
        <w:rPr>
          <w:rFonts w:asciiTheme="majorEastAsia" w:hAnsiTheme="majorEastAsia" w:eastAsiaTheme="majorEastAsia"/>
        </w:rPr>
      </w:pPr>
      <w:r>
        <w:rPr>
          <w:rFonts w:hint="eastAsia" w:asciiTheme="majorEastAsia" w:hAnsiTheme="majorEastAsia" w:eastAsiaTheme="majorEastAsia"/>
        </w:rPr>
        <w:t>（1）法定代表人和授权代理人必须在授权书上亲笔签名，不得使用印章、签名章或其他电子制版签名；</w:t>
      </w:r>
    </w:p>
    <w:p>
      <w:pPr>
        <w:spacing w:after="0" w:line="440" w:lineRule="exact"/>
        <w:ind w:firstLine="323" w:firstLineChars="147"/>
        <w:rPr>
          <w:rFonts w:asciiTheme="majorEastAsia" w:hAnsiTheme="majorEastAsia" w:eastAsiaTheme="majorEastAsia"/>
        </w:rPr>
      </w:pPr>
      <w:r>
        <w:rPr>
          <w:rFonts w:hint="eastAsia" w:asciiTheme="majorEastAsia" w:hAnsiTheme="majorEastAsia" w:eastAsiaTheme="majorEastAsia"/>
        </w:rPr>
        <w:t>（2）授权代理人只能是一个人，且不能再授予他人，否则将认为其授权无效；</w:t>
      </w:r>
    </w:p>
    <w:p>
      <w:pPr>
        <w:spacing w:after="0" w:line="440" w:lineRule="exact"/>
        <w:ind w:firstLine="323" w:firstLineChars="147"/>
        <w:rPr>
          <w:rFonts w:asciiTheme="majorEastAsia" w:hAnsiTheme="majorEastAsia" w:eastAsiaTheme="majorEastAsia"/>
        </w:rPr>
      </w:pPr>
      <w:r>
        <w:rPr>
          <w:rFonts w:hint="eastAsia" w:asciiTheme="majorEastAsia" w:hAnsiTheme="majorEastAsia" w:eastAsiaTheme="majorEastAsia"/>
        </w:rPr>
        <w:t>（3）授权书后须附被授权人身份证复印件（彩色或黑白），并加盖公章。</w:t>
      </w:r>
      <w:r>
        <w:rPr>
          <w:rFonts w:asciiTheme="majorEastAsia" w:hAnsiTheme="majorEastAsia" w:eastAsiaTheme="majorEastAsia"/>
        </w:rPr>
        <w:br w:type="page"/>
      </w:r>
    </w:p>
    <w:p>
      <w:pPr>
        <w:pStyle w:val="6"/>
        <w:ind w:left="0" w:firstLine="0" w:firstLineChars="0"/>
        <w:rPr>
          <w:rFonts w:asciiTheme="majorEastAsia" w:hAnsiTheme="majorEastAsia" w:eastAsiaTheme="majorEastAsia"/>
        </w:rPr>
      </w:pPr>
      <w:bookmarkStart w:id="19" w:name="_Toc96874888"/>
      <w:bookmarkStart w:id="20" w:name="_Toc498423076"/>
      <w:bookmarkStart w:id="21" w:name="_Toc96874733"/>
      <w:r>
        <w:rPr>
          <w:rFonts w:hint="eastAsia" w:asciiTheme="majorEastAsia" w:hAnsiTheme="majorEastAsia" w:eastAsiaTheme="majorEastAsia"/>
        </w:rPr>
        <w:t>四.税务师事务所介绍</w:t>
      </w:r>
      <w:bookmarkEnd w:id="19"/>
      <w:bookmarkEnd w:id="20"/>
      <w:bookmarkEnd w:id="21"/>
    </w:p>
    <w:p>
      <w:pPr>
        <w:spacing w:line="660" w:lineRule="exact"/>
        <w:jc w:val="center"/>
        <w:rPr>
          <w:rFonts w:ascii="仿宋_GB2312" w:hAnsi="仿宋_GB2312" w:eastAsia="仿宋_GB2312" w:cs="仿宋_GB2312"/>
          <w:sz w:val="32"/>
          <w:szCs w:val="32"/>
        </w:rPr>
      </w:pPr>
      <w:r>
        <w:rPr>
          <w:rFonts w:hint="eastAsia" w:ascii="仿宋_GB2312" w:hAnsi="仿宋_GB2312" w:eastAsia="仿宋_GB2312" w:cs="仿宋_GB2312"/>
          <w:b/>
          <w:bCs/>
          <w:sz w:val="32"/>
          <w:szCs w:val="32"/>
        </w:rPr>
        <w:t>税务师事务所介绍一览表</w:t>
      </w:r>
    </w:p>
    <w:p>
      <w:pPr>
        <w:spacing w:after="0" w:line="440" w:lineRule="exact"/>
        <w:rPr>
          <w:rFonts w:asciiTheme="majorEastAsia" w:hAnsiTheme="majorEastAsia" w:eastAsiaTheme="majorEastAsia"/>
          <w:b/>
        </w:rPr>
      </w:pPr>
      <w:bookmarkStart w:id="22" w:name="_Toc498423077"/>
    </w:p>
    <w:tbl>
      <w:tblPr>
        <w:tblStyle w:val="22"/>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1050"/>
        <w:gridCol w:w="1095"/>
        <w:gridCol w:w="1135"/>
        <w:gridCol w:w="1559"/>
        <w:gridCol w:w="727"/>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报价人名称</w:t>
            </w:r>
          </w:p>
        </w:tc>
        <w:tc>
          <w:tcPr>
            <w:tcW w:w="694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注册地址</w:t>
            </w:r>
          </w:p>
        </w:tc>
        <w:tc>
          <w:tcPr>
            <w:tcW w:w="32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邮政编码</w:t>
            </w:r>
          </w:p>
        </w:tc>
        <w:tc>
          <w:tcPr>
            <w:tcW w:w="21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联系方式</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联系人</w:t>
            </w:r>
          </w:p>
        </w:tc>
        <w:tc>
          <w:tcPr>
            <w:tcW w:w="22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联系电话</w:t>
            </w:r>
          </w:p>
        </w:tc>
        <w:tc>
          <w:tcPr>
            <w:tcW w:w="21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传 真</w:t>
            </w:r>
          </w:p>
        </w:tc>
        <w:tc>
          <w:tcPr>
            <w:tcW w:w="22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电子邮件</w:t>
            </w:r>
          </w:p>
        </w:tc>
        <w:tc>
          <w:tcPr>
            <w:tcW w:w="21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法定代表人</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姓名</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职称</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电话</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项目负责人</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姓名</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职称</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电话</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成立时间</w:t>
            </w:r>
          </w:p>
        </w:tc>
        <w:tc>
          <w:tcPr>
            <w:tcW w:w="21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4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信用等级</w:t>
            </w:r>
          </w:p>
        </w:tc>
        <w:tc>
          <w:tcPr>
            <w:tcW w:w="214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1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其中</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高级职称</w:t>
            </w:r>
          </w:p>
        </w:tc>
        <w:tc>
          <w:tcPr>
            <w:tcW w:w="21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214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中级职称</w:t>
            </w:r>
          </w:p>
        </w:tc>
        <w:tc>
          <w:tcPr>
            <w:tcW w:w="21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营业执照号</w:t>
            </w:r>
          </w:p>
        </w:tc>
        <w:tc>
          <w:tcPr>
            <w:tcW w:w="21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各类注册人员</w:t>
            </w:r>
          </w:p>
        </w:tc>
        <w:tc>
          <w:tcPr>
            <w:tcW w:w="21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注册资金</w:t>
            </w:r>
          </w:p>
        </w:tc>
        <w:tc>
          <w:tcPr>
            <w:tcW w:w="694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基本账户</w:t>
            </w:r>
          </w:p>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开户银行</w:t>
            </w:r>
          </w:p>
        </w:tc>
        <w:tc>
          <w:tcPr>
            <w:tcW w:w="694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基本账户账号</w:t>
            </w:r>
          </w:p>
        </w:tc>
        <w:tc>
          <w:tcPr>
            <w:tcW w:w="694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经营范围</w:t>
            </w:r>
          </w:p>
        </w:tc>
        <w:tc>
          <w:tcPr>
            <w:tcW w:w="694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备注</w:t>
            </w:r>
          </w:p>
        </w:tc>
        <w:tc>
          <w:tcPr>
            <w:tcW w:w="694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r>
    </w:tbl>
    <w:p>
      <w:pPr>
        <w:spacing w:after="0" w:line="440" w:lineRule="exact"/>
        <w:rPr>
          <w:rFonts w:asciiTheme="majorEastAsia" w:hAnsiTheme="majorEastAsia" w:eastAsiaTheme="majorEastAsia"/>
          <w:b/>
        </w:rPr>
      </w:pPr>
      <w:r>
        <w:rPr>
          <w:rFonts w:hint="eastAsia" w:ascii="仿宋" w:hAnsi="仿宋" w:eastAsia="仿宋" w:cs="Times New Roman"/>
          <w:b/>
          <w:kern w:val="2"/>
          <w:sz w:val="21"/>
          <w:szCs w:val="21"/>
          <w:lang w:bidi="ar"/>
        </w:rPr>
        <w:t>注：</w:t>
      </w:r>
      <w:r>
        <w:rPr>
          <w:rFonts w:hint="eastAsia" w:ascii="仿宋" w:hAnsi="仿宋" w:eastAsia="仿宋" w:cs="Times New Roman"/>
          <w:kern w:val="2"/>
          <w:sz w:val="21"/>
          <w:szCs w:val="21"/>
          <w:lang w:bidi="ar"/>
        </w:rPr>
        <w:t>在本表后应附报价人营业执照证书、基本账户开户许可证、税务师事务所执业</w:t>
      </w:r>
    </w:p>
    <w:p>
      <w:pPr>
        <w:spacing w:after="0" w:line="440" w:lineRule="exact"/>
        <w:rPr>
          <w:rFonts w:asciiTheme="majorEastAsia" w:hAnsiTheme="majorEastAsia" w:eastAsiaTheme="majorEastAsia"/>
          <w:b/>
        </w:rPr>
      </w:pPr>
    </w:p>
    <w:p>
      <w:pPr>
        <w:pStyle w:val="6"/>
        <w:ind w:left="0" w:firstLine="0" w:firstLineChars="0"/>
        <w:rPr>
          <w:rFonts w:asciiTheme="majorEastAsia" w:hAnsiTheme="majorEastAsia" w:eastAsiaTheme="majorEastAsia"/>
        </w:rPr>
      </w:pPr>
      <w:r>
        <w:rPr>
          <w:rFonts w:asciiTheme="majorEastAsia" w:hAnsiTheme="majorEastAsia" w:eastAsiaTheme="majorEastAsia"/>
        </w:rPr>
        <w:br w:type="page"/>
      </w:r>
    </w:p>
    <w:p>
      <w:pPr>
        <w:pStyle w:val="6"/>
        <w:ind w:left="0" w:firstLine="0" w:firstLineChars="0"/>
        <w:rPr>
          <w:rFonts w:asciiTheme="majorEastAsia" w:hAnsiTheme="majorEastAsia" w:eastAsiaTheme="majorEastAsia"/>
        </w:rPr>
      </w:pPr>
      <w:bookmarkStart w:id="23" w:name="_Toc96874910"/>
      <w:bookmarkStart w:id="24" w:name="_Toc96874755"/>
      <w:r>
        <w:rPr>
          <w:rFonts w:hint="eastAsia" w:asciiTheme="majorEastAsia" w:hAnsiTheme="majorEastAsia" w:eastAsiaTheme="majorEastAsia"/>
        </w:rPr>
        <w:t>五.拟配备顾问团队</w:t>
      </w:r>
      <w:bookmarkEnd w:id="22"/>
      <w:bookmarkEnd w:id="23"/>
      <w:bookmarkEnd w:id="24"/>
    </w:p>
    <w:p>
      <w:pPr>
        <w:spacing w:line="6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拟配备顾问团队</w:t>
      </w:r>
      <w:r>
        <w:rPr>
          <w:rFonts w:hint="eastAsia" w:ascii="仿宋_GB2312" w:hAnsi="宋体" w:eastAsia="仿宋_GB2312"/>
          <w:b/>
          <w:sz w:val="32"/>
          <w:szCs w:val="36"/>
        </w:rPr>
        <w:t>一览表</w:t>
      </w:r>
    </w:p>
    <w:tbl>
      <w:tblPr>
        <w:tblStyle w:val="22"/>
        <w:tblW w:w="800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29"/>
        <w:gridCol w:w="1747"/>
        <w:gridCol w:w="1276"/>
        <w:gridCol w:w="1322"/>
        <w:gridCol w:w="1350"/>
        <w:gridCol w:w="16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629"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序号</w:t>
            </w:r>
          </w:p>
        </w:tc>
        <w:tc>
          <w:tcPr>
            <w:tcW w:w="1747"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拟在本项目中任职</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姓名</w:t>
            </w:r>
          </w:p>
        </w:tc>
        <w:tc>
          <w:tcPr>
            <w:tcW w:w="1322"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性别</w:t>
            </w:r>
          </w:p>
        </w:tc>
        <w:tc>
          <w:tcPr>
            <w:tcW w:w="1350"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执业年限</w:t>
            </w:r>
          </w:p>
        </w:tc>
        <w:tc>
          <w:tcPr>
            <w:tcW w:w="1680"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专业领域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629"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747"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项目负责人</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322"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350"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680"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629"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747"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322"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350"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680"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629"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747"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322"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35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680" w:type="dxa"/>
            <w:tcBorders>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629"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747"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322"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350" w:type="dxa"/>
            <w:tcBorders>
              <w:top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680" w:type="dxa"/>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629"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747"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322"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350" w:type="dxa"/>
            <w:tcBorders>
              <w:top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680" w:type="dxa"/>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629"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747"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322"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350" w:type="dxa"/>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680" w:type="dxa"/>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629"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747"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322"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350"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680"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629"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747"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322"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350"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c>
          <w:tcPr>
            <w:tcW w:w="1680"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p>
        </w:tc>
      </w:tr>
    </w:tbl>
    <w:p>
      <w:pPr>
        <w:spacing w:after="0" w:line="440" w:lineRule="exact"/>
        <w:rPr>
          <w:rFonts w:asciiTheme="majorEastAsia" w:hAnsiTheme="majorEastAsia" w:eastAsiaTheme="majorEastAsia"/>
          <w:b/>
        </w:rPr>
      </w:pPr>
      <w:r>
        <w:rPr>
          <w:rFonts w:asciiTheme="majorEastAsia" w:hAnsiTheme="majorEastAsia" w:eastAsiaTheme="majorEastAsia"/>
          <w:b/>
        </w:rPr>
        <w:t>注：</w:t>
      </w:r>
      <w:r>
        <w:rPr>
          <w:rFonts w:hint="eastAsia" w:asciiTheme="majorEastAsia" w:hAnsiTheme="majorEastAsia" w:eastAsiaTheme="majorEastAsia"/>
        </w:rPr>
        <w:t>1</w:t>
      </w:r>
      <w:r>
        <w:rPr>
          <w:rFonts w:asciiTheme="majorEastAsia" w:hAnsiTheme="majorEastAsia" w:eastAsiaTheme="majorEastAsia"/>
        </w:rPr>
        <w:t>.</w:t>
      </w:r>
      <w:r>
        <w:rPr>
          <w:rFonts w:hint="eastAsia" w:asciiTheme="majorEastAsia" w:hAnsiTheme="majorEastAsia" w:eastAsiaTheme="majorEastAsia"/>
        </w:rPr>
        <w:t>拟配置团队人员应为比选申请人本单位人员，并与合同履行实际服务顾问团队保持一致，且未经比选人同意不得随意更换。</w:t>
      </w:r>
    </w:p>
    <w:p>
      <w:pPr>
        <w:spacing w:after="0" w:line="440" w:lineRule="exact"/>
        <w:ind w:firstLine="440" w:firstLineChars="200"/>
        <w:rPr>
          <w:rFonts w:asciiTheme="majorEastAsia" w:hAnsiTheme="majorEastAsia" w:eastAsiaTheme="majorEastAsia"/>
          <w:b/>
        </w:rPr>
      </w:pPr>
      <w:r>
        <w:rPr>
          <w:rFonts w:hint="eastAsia" w:asciiTheme="majorEastAsia" w:hAnsiTheme="majorEastAsia" w:eastAsiaTheme="majorEastAsia"/>
        </w:rPr>
        <w:t>2</w:t>
      </w:r>
      <w:r>
        <w:rPr>
          <w:rFonts w:asciiTheme="majorEastAsia" w:hAnsiTheme="majorEastAsia" w:eastAsiaTheme="majorEastAsia"/>
        </w:rPr>
        <w:t>.表后附拟配备</w:t>
      </w:r>
      <w:r>
        <w:rPr>
          <w:rFonts w:hint="eastAsia" w:asciiTheme="majorEastAsia" w:hAnsiTheme="majorEastAsia" w:eastAsiaTheme="majorEastAsia"/>
        </w:rPr>
        <w:t>顾问</w:t>
      </w:r>
      <w:r>
        <w:rPr>
          <w:rFonts w:asciiTheme="majorEastAsia" w:hAnsiTheme="majorEastAsia" w:eastAsiaTheme="majorEastAsia"/>
        </w:rPr>
        <w:t>团队人员介绍（格式自拟），介绍内容包括但不限于</w:t>
      </w:r>
      <w:r>
        <w:rPr>
          <w:rFonts w:hint="eastAsia" w:asciiTheme="majorEastAsia" w:hAnsiTheme="majorEastAsia" w:eastAsiaTheme="majorEastAsia"/>
        </w:rPr>
        <w:t>专业领域、主要业绩、获奖情况（如有）。相关证明材料应附身份证、税务师职业资格证及其他必选申请人认为与本项目相关的资料，并加盖比选申请人公章。</w:t>
      </w:r>
    </w:p>
    <w:p>
      <w:pPr>
        <w:spacing w:line="660" w:lineRule="exact"/>
        <w:jc w:val="center"/>
        <w:rPr>
          <w:rFonts w:ascii="仿宋_GB2312" w:hAnsi="仿宋_GB2312" w:eastAsia="仿宋_GB2312" w:cs="仿宋_GB2312"/>
          <w:b/>
          <w:bCs/>
          <w:sz w:val="32"/>
          <w:szCs w:val="32"/>
        </w:rPr>
      </w:pPr>
      <w:r>
        <w:rPr>
          <w:rFonts w:ascii="仿宋_GB2312" w:hAnsi="仿宋_GB2312" w:eastAsia="仿宋_GB2312" w:cs="仿宋_GB2312"/>
          <w:b/>
          <w:bCs/>
          <w:sz w:val="32"/>
          <w:szCs w:val="32"/>
        </w:rPr>
        <w:br w:type="page"/>
      </w:r>
    </w:p>
    <w:p>
      <w:pPr>
        <w:pStyle w:val="6"/>
        <w:ind w:left="0" w:firstLine="0" w:firstLineChars="0"/>
        <w:rPr>
          <w:rFonts w:asciiTheme="majorEastAsia" w:hAnsiTheme="majorEastAsia" w:eastAsiaTheme="majorEastAsia"/>
        </w:rPr>
      </w:pPr>
      <w:bookmarkStart w:id="25" w:name="_Toc96874911"/>
      <w:bookmarkStart w:id="26" w:name="_Toc96874756"/>
      <w:r>
        <w:rPr>
          <w:rFonts w:asciiTheme="majorEastAsia" w:hAnsiTheme="majorEastAsia" w:eastAsiaTheme="majorEastAsia"/>
        </w:rPr>
        <w:t>六</w:t>
      </w:r>
      <w:r>
        <w:rPr>
          <w:rFonts w:hint="eastAsia" w:asciiTheme="majorEastAsia" w:hAnsiTheme="majorEastAsia" w:eastAsiaTheme="majorEastAsia"/>
        </w:rPr>
        <w:t>.拟配备团队常年税务顾问业绩</w:t>
      </w:r>
      <w:bookmarkEnd w:id="25"/>
      <w:bookmarkEnd w:id="26"/>
    </w:p>
    <w:p>
      <w:pPr>
        <w:spacing w:before="156" w:beforeLines="50" w:after="156" w:afterLines="50" w:line="360" w:lineRule="auto"/>
        <w:jc w:val="center"/>
        <w:rPr>
          <w:rFonts w:ascii="仿宋_GB2312" w:hAnsi="宋体" w:eastAsia="仿宋_GB2312" w:cs="宋体"/>
          <w:b/>
          <w:bCs/>
          <w:sz w:val="3"/>
          <w:szCs w:val="3"/>
        </w:rPr>
      </w:pPr>
      <w:r>
        <w:rPr>
          <w:rFonts w:hint="eastAsia" w:ascii="仿宋_GB2312" w:hAnsi="宋体" w:eastAsia="仿宋_GB2312"/>
          <w:b/>
          <w:sz w:val="32"/>
          <w:szCs w:val="36"/>
        </w:rPr>
        <w:t>拟配备团队常年税务顾问业绩一览表</w:t>
      </w:r>
    </w:p>
    <w:tbl>
      <w:tblPr>
        <w:tblStyle w:val="22"/>
        <w:tblW w:w="8067" w:type="dxa"/>
        <w:jc w:val="center"/>
        <w:tblLayout w:type="fixed"/>
        <w:tblCellMar>
          <w:top w:w="0" w:type="dxa"/>
          <w:left w:w="57" w:type="dxa"/>
          <w:bottom w:w="0" w:type="dxa"/>
          <w:right w:w="57" w:type="dxa"/>
        </w:tblCellMar>
      </w:tblPr>
      <w:tblGrid>
        <w:gridCol w:w="546"/>
        <w:gridCol w:w="2568"/>
        <w:gridCol w:w="2126"/>
        <w:gridCol w:w="1276"/>
        <w:gridCol w:w="1551"/>
      </w:tblGrid>
      <w:tr>
        <w:tblPrEx>
          <w:tblCellMar>
            <w:top w:w="0" w:type="dxa"/>
            <w:left w:w="57" w:type="dxa"/>
            <w:bottom w:w="0" w:type="dxa"/>
            <w:right w:w="57" w:type="dxa"/>
          </w:tblCellMar>
        </w:tblPrEx>
        <w:trPr>
          <w:trHeight w:val="20" w:hRule="atLeast"/>
          <w:jc w:val="center"/>
        </w:trPr>
        <w:tc>
          <w:tcPr>
            <w:tcW w:w="5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序号</w:t>
            </w:r>
          </w:p>
        </w:tc>
        <w:tc>
          <w:tcPr>
            <w:tcW w:w="2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项目</w:t>
            </w:r>
            <w:r>
              <w:rPr>
                <w:rFonts w:hint="eastAsia" w:ascii="仿宋_GB2312" w:hAnsi="仿宋_GB2312" w:eastAsia="仿宋_GB2312" w:cs="仿宋_GB2312"/>
                <w:sz w:val="28"/>
                <w:lang w:eastAsia="zh-CN"/>
              </w:rPr>
              <w:t>名称</w:t>
            </w:r>
          </w:p>
        </w:tc>
        <w:tc>
          <w:tcPr>
            <w:tcW w:w="2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服务对象（委托人）</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服务对象单位类型性质</w:t>
            </w:r>
          </w:p>
        </w:tc>
        <w:tc>
          <w:tcPr>
            <w:tcW w:w="15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服务期限</w:t>
            </w:r>
          </w:p>
        </w:tc>
      </w:tr>
      <w:tr>
        <w:tblPrEx>
          <w:tblCellMar>
            <w:top w:w="0" w:type="dxa"/>
            <w:left w:w="57" w:type="dxa"/>
            <w:bottom w:w="0" w:type="dxa"/>
            <w:right w:w="57" w:type="dxa"/>
          </w:tblCellMar>
        </w:tblPrEx>
        <w:trPr>
          <w:trHeight w:val="20" w:hRule="atLeast"/>
          <w:jc w:val="center"/>
        </w:trPr>
        <w:tc>
          <w:tcPr>
            <w:tcW w:w="54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2568"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1551"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r>
      <w:tr>
        <w:tblPrEx>
          <w:tblCellMar>
            <w:top w:w="0" w:type="dxa"/>
            <w:left w:w="57" w:type="dxa"/>
            <w:bottom w:w="0" w:type="dxa"/>
            <w:right w:w="57" w:type="dxa"/>
          </w:tblCellMar>
        </w:tblPrEx>
        <w:trPr>
          <w:trHeight w:val="20" w:hRule="atLeast"/>
          <w:jc w:val="center"/>
        </w:trPr>
        <w:tc>
          <w:tcPr>
            <w:tcW w:w="54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2568"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1551"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r>
      <w:tr>
        <w:tblPrEx>
          <w:tblCellMar>
            <w:top w:w="0" w:type="dxa"/>
            <w:left w:w="57" w:type="dxa"/>
            <w:bottom w:w="0" w:type="dxa"/>
            <w:right w:w="57" w:type="dxa"/>
          </w:tblCellMar>
        </w:tblPrEx>
        <w:trPr>
          <w:trHeight w:val="20" w:hRule="atLeast"/>
          <w:jc w:val="center"/>
        </w:trPr>
        <w:tc>
          <w:tcPr>
            <w:tcW w:w="54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2568"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1551"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r>
      <w:tr>
        <w:tblPrEx>
          <w:tblCellMar>
            <w:top w:w="0" w:type="dxa"/>
            <w:left w:w="57" w:type="dxa"/>
            <w:bottom w:w="0" w:type="dxa"/>
            <w:right w:w="57" w:type="dxa"/>
          </w:tblCellMar>
        </w:tblPrEx>
        <w:trPr>
          <w:trHeight w:val="20" w:hRule="atLeast"/>
          <w:jc w:val="center"/>
        </w:trPr>
        <w:tc>
          <w:tcPr>
            <w:tcW w:w="54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2568"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1551"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r>
      <w:tr>
        <w:tblPrEx>
          <w:tblCellMar>
            <w:top w:w="0" w:type="dxa"/>
            <w:left w:w="57" w:type="dxa"/>
            <w:bottom w:w="0" w:type="dxa"/>
            <w:right w:w="57" w:type="dxa"/>
          </w:tblCellMar>
        </w:tblPrEx>
        <w:trPr>
          <w:trHeight w:val="20" w:hRule="atLeast"/>
          <w:jc w:val="center"/>
        </w:trPr>
        <w:tc>
          <w:tcPr>
            <w:tcW w:w="54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2568"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1551"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r>
      <w:tr>
        <w:tblPrEx>
          <w:tblCellMar>
            <w:top w:w="0" w:type="dxa"/>
            <w:left w:w="57" w:type="dxa"/>
            <w:bottom w:w="0" w:type="dxa"/>
            <w:right w:w="57" w:type="dxa"/>
          </w:tblCellMar>
        </w:tblPrEx>
        <w:trPr>
          <w:trHeight w:val="20" w:hRule="atLeast"/>
          <w:jc w:val="center"/>
        </w:trPr>
        <w:tc>
          <w:tcPr>
            <w:tcW w:w="54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2568"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1551"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r>
      <w:tr>
        <w:tblPrEx>
          <w:tblCellMar>
            <w:top w:w="0" w:type="dxa"/>
            <w:left w:w="57" w:type="dxa"/>
            <w:bottom w:w="0" w:type="dxa"/>
            <w:right w:w="57" w:type="dxa"/>
          </w:tblCellMar>
        </w:tblPrEx>
        <w:trPr>
          <w:trHeight w:val="20" w:hRule="atLeast"/>
          <w:jc w:val="center"/>
        </w:trPr>
        <w:tc>
          <w:tcPr>
            <w:tcW w:w="54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2568"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1551"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r>
      <w:tr>
        <w:tblPrEx>
          <w:tblCellMar>
            <w:top w:w="0" w:type="dxa"/>
            <w:left w:w="57" w:type="dxa"/>
            <w:bottom w:w="0" w:type="dxa"/>
            <w:right w:w="57" w:type="dxa"/>
          </w:tblCellMar>
        </w:tblPrEx>
        <w:trPr>
          <w:trHeight w:val="20" w:hRule="atLeast"/>
          <w:jc w:val="center"/>
        </w:trPr>
        <w:tc>
          <w:tcPr>
            <w:tcW w:w="54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2568"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1551"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r>
    </w:tbl>
    <w:p>
      <w:pPr>
        <w:spacing w:after="0" w:line="440" w:lineRule="exact"/>
        <w:rPr>
          <w:rFonts w:asciiTheme="majorEastAsia" w:hAnsiTheme="majorEastAsia" w:eastAsiaTheme="majorEastAsia"/>
        </w:rPr>
      </w:pPr>
      <w:r>
        <w:rPr>
          <w:rFonts w:hint="eastAsia" w:asciiTheme="majorEastAsia" w:hAnsiTheme="majorEastAsia" w:eastAsiaTheme="majorEastAsia"/>
          <w:b/>
        </w:rPr>
        <w:t>注：</w:t>
      </w:r>
      <w:r>
        <w:rPr>
          <w:rFonts w:hint="eastAsia" w:asciiTheme="majorEastAsia" w:hAnsiTheme="majorEastAsia" w:eastAsiaTheme="majorEastAsia"/>
        </w:rPr>
        <w:t>1</w:t>
      </w:r>
      <w:r>
        <w:rPr>
          <w:rFonts w:asciiTheme="majorEastAsia" w:hAnsiTheme="majorEastAsia" w:eastAsiaTheme="majorEastAsia"/>
        </w:rPr>
        <w:t>.</w:t>
      </w:r>
      <w:r>
        <w:rPr>
          <w:rFonts w:hint="eastAsia" w:asciiTheme="majorEastAsia" w:hAnsiTheme="majorEastAsia" w:eastAsiaTheme="majorEastAsia"/>
        </w:rPr>
        <w:t>表后按要求附相关证明材料并加盖比选申请人公章，未附证明材料或无法体现相关要求的业绩视为无效；</w:t>
      </w:r>
    </w:p>
    <w:p>
      <w:pPr>
        <w:spacing w:after="0" w:line="440" w:lineRule="exact"/>
        <w:ind w:firstLine="440" w:firstLineChars="200"/>
        <w:rPr>
          <w:rFonts w:asciiTheme="majorEastAsia" w:hAnsiTheme="majorEastAsia" w:eastAsiaTheme="majorEastAsia"/>
        </w:rPr>
      </w:pPr>
      <w:r>
        <w:rPr>
          <w:rFonts w:hint="eastAsia" w:asciiTheme="majorEastAsia" w:hAnsiTheme="majorEastAsia" w:eastAsiaTheme="majorEastAsia"/>
        </w:rPr>
        <w:t>2.如近年来，比选申请人机构发生合法变更或重组或法人名称变更时，应根据相关部门的合法批件或其他相关证明材料来证明其所附业绩的继承性；</w:t>
      </w:r>
    </w:p>
    <w:p>
      <w:pPr>
        <w:ind w:firstLine="405"/>
        <w:rPr>
          <w:rFonts w:ascii="仿宋_GB2312" w:hAnsi="仿宋_GB2312" w:eastAsia="仿宋_GB2312" w:cs="仿宋_GB2312"/>
          <w:szCs w:val="32"/>
        </w:rPr>
      </w:pPr>
      <w:r>
        <w:rPr>
          <w:rFonts w:ascii="仿宋_GB2312" w:hAnsi="仿宋_GB2312" w:eastAsia="仿宋_GB2312" w:cs="仿宋_GB2312"/>
          <w:szCs w:val="32"/>
        </w:rPr>
        <w:br w:type="page"/>
      </w:r>
    </w:p>
    <w:p>
      <w:pPr>
        <w:ind w:firstLine="405"/>
        <w:rPr>
          <w:rFonts w:ascii="宋体" w:hAnsi="宋体" w:eastAsia="宋体"/>
        </w:rPr>
      </w:pPr>
      <w:bookmarkStart w:id="27" w:name="_Toc96874757"/>
      <w:bookmarkStart w:id="28" w:name="_Toc96874912"/>
      <w:r>
        <w:rPr>
          <w:rFonts w:asciiTheme="majorEastAsia" w:hAnsiTheme="majorEastAsia" w:eastAsiaTheme="majorEastAsia"/>
        </w:rPr>
        <w:t>七</w:t>
      </w:r>
      <w:r>
        <w:rPr>
          <w:rFonts w:hint="eastAsia" w:asciiTheme="majorEastAsia" w:hAnsiTheme="majorEastAsia" w:eastAsiaTheme="majorEastAsia"/>
        </w:rPr>
        <w:t>.</w:t>
      </w:r>
      <w:bookmarkEnd w:id="27"/>
      <w:bookmarkEnd w:id="28"/>
      <w:bookmarkStart w:id="29" w:name="_Toc96874914"/>
      <w:bookmarkStart w:id="30" w:name="_Toc96874759"/>
      <w:bookmarkStart w:id="31" w:name="_Toc498423078"/>
      <w:r>
        <w:rPr>
          <w:rFonts w:hint="eastAsia" w:ascii="宋体" w:hAnsi="宋体" w:eastAsia="宋体"/>
        </w:rPr>
        <w:t>信誉承诺函</w:t>
      </w:r>
      <w:bookmarkEnd w:id="29"/>
      <w:bookmarkEnd w:id="30"/>
    </w:p>
    <w:p>
      <w:pPr>
        <w:spacing w:before="156" w:beforeLines="50" w:after="156" w:afterLines="50" w:line="360" w:lineRule="auto"/>
        <w:jc w:val="center"/>
        <w:rPr>
          <w:rFonts w:ascii="仿宋_GB2312" w:hAnsi="宋体" w:eastAsia="仿宋_GB2312"/>
          <w:b/>
          <w:sz w:val="32"/>
          <w:szCs w:val="36"/>
        </w:rPr>
      </w:pPr>
      <w:r>
        <w:rPr>
          <w:rFonts w:hint="eastAsia" w:ascii="仿宋_GB2312" w:hAnsi="宋体" w:eastAsia="仿宋_GB2312"/>
          <w:b/>
          <w:sz w:val="32"/>
          <w:szCs w:val="36"/>
        </w:rPr>
        <w:t>信誉承诺函</w:t>
      </w:r>
    </w:p>
    <w:p>
      <w:pPr>
        <w:spacing w:after="0" w:line="560" w:lineRule="exact"/>
        <w:rPr>
          <w:rFonts w:ascii="仿宋_GB2312" w:hAnsi="仿宋_GB2312" w:eastAsia="仿宋_GB2312" w:cs="仿宋_GB2312"/>
          <w:b/>
          <w:bCs/>
          <w:sz w:val="44"/>
          <w:szCs w:val="44"/>
        </w:rPr>
      </w:pPr>
    </w:p>
    <w:p>
      <w:pPr>
        <w:spacing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致： </w:t>
      </w:r>
      <w:r>
        <w:rPr>
          <w:rFonts w:ascii="仿宋_GB2312" w:hAnsi="仿宋_GB2312" w:eastAsia="仿宋_GB2312" w:cs="仿宋_GB2312"/>
          <w:sz w:val="28"/>
          <w:szCs w:val="28"/>
        </w:rPr>
        <w:t xml:space="preserve">                </w:t>
      </w:r>
    </w:p>
    <w:p>
      <w:pPr>
        <w:spacing w:after="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近三年以来，未受过行政处罚、行业惩戒或有效投诉，不存在下列情形之一：弄虚作假、恶意串通、营私舞弊等严重不诚信行为的；分别接受利益相对方委托，就同一事项提供有利益冲突的中介服务的；出具虚假或重大失实的业务报告的；违反中介服务合同约定给委托方造成重大损失的。</w:t>
      </w:r>
    </w:p>
    <w:p>
      <w:pPr>
        <w:spacing w:after="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pPr>
        <w:spacing w:after="0" w:line="560" w:lineRule="exact"/>
        <w:ind w:left="1200" w:firstLine="480"/>
        <w:rPr>
          <w:rFonts w:ascii="仿宋_GB2312" w:hAnsi="仿宋_GB2312" w:eastAsia="仿宋_GB2312" w:cs="仿宋_GB2312"/>
          <w:sz w:val="28"/>
          <w:szCs w:val="28"/>
        </w:rPr>
      </w:pPr>
    </w:p>
    <w:p>
      <w:pPr>
        <w:spacing w:after="0" w:line="560" w:lineRule="exact"/>
        <w:ind w:left="1200" w:firstLine="480"/>
        <w:rPr>
          <w:rFonts w:ascii="仿宋_GB2312" w:hAnsi="仿宋_GB2312" w:eastAsia="仿宋_GB2312" w:cs="仿宋_GB2312"/>
          <w:sz w:val="28"/>
          <w:szCs w:val="28"/>
        </w:rPr>
      </w:pPr>
    </w:p>
    <w:p>
      <w:pPr>
        <w:spacing w:after="0" w:line="560" w:lineRule="exact"/>
        <w:ind w:left="1200" w:firstLine="480"/>
        <w:rPr>
          <w:rFonts w:ascii="仿宋_GB2312" w:hAnsi="仿宋_GB2312" w:eastAsia="仿宋_GB2312" w:cs="仿宋_GB2312"/>
          <w:sz w:val="28"/>
          <w:szCs w:val="28"/>
        </w:rPr>
      </w:pPr>
    </w:p>
    <w:p>
      <w:pPr>
        <w:spacing w:line="560" w:lineRule="exact"/>
        <w:ind w:right="640" w:firstLine="980" w:firstLineChars="350"/>
        <w:rPr>
          <w:rFonts w:ascii="仿宋_GB2312" w:hAnsi="仿宋_GB2312" w:eastAsia="仿宋_GB2312" w:cs="仿宋_GB2312"/>
          <w:sz w:val="28"/>
          <w:szCs w:val="28"/>
        </w:rPr>
      </w:pPr>
      <w:r>
        <w:rPr>
          <w:rFonts w:hint="eastAsia" w:ascii="仿宋_GB2312" w:hAnsi="仿宋_GB2312" w:eastAsia="仿宋_GB2312" w:cs="仿宋_GB2312"/>
          <w:sz w:val="28"/>
          <w:szCs w:val="28"/>
        </w:rPr>
        <w:t>比选申请人：</w:t>
      </w:r>
      <w:r>
        <w:rPr>
          <w:rFonts w:ascii="仿宋_GB2312" w:hAnsi="仿宋_GB2312" w:eastAsia="仿宋_GB2312" w:cs="仿宋_GB2312"/>
          <w:sz w:val="28"/>
          <w:szCs w:val="28"/>
        </w:rPr>
        <w:t xml:space="preserve">                （单位盖章）   </w:t>
      </w:r>
    </w:p>
    <w:p>
      <w:pPr>
        <w:spacing w:line="560" w:lineRule="exact"/>
        <w:ind w:firstLine="980" w:firstLineChars="350"/>
        <w:rPr>
          <w:rFonts w:ascii="仿宋_GB2312" w:hAnsi="仿宋_GB2312" w:eastAsia="仿宋_GB2312" w:cs="仿宋_GB2312"/>
          <w:sz w:val="28"/>
          <w:szCs w:val="28"/>
        </w:rPr>
      </w:pPr>
      <w:r>
        <w:rPr>
          <w:rFonts w:hint="eastAsia" w:ascii="仿宋_GB2312" w:hAnsi="仿宋_GB2312" w:eastAsia="仿宋_GB2312" w:cs="仿宋_GB2312"/>
          <w:sz w:val="28"/>
        </w:rPr>
        <w:t>法定代表人（负责人）</w:t>
      </w:r>
      <w:r>
        <w:rPr>
          <w:rFonts w:hint="eastAsia" w:ascii="仿宋_GB2312" w:hAnsi="仿宋_GB2312" w:eastAsia="仿宋_GB2312" w:cs="仿宋_GB2312"/>
          <w:sz w:val="28"/>
          <w:szCs w:val="28"/>
        </w:rPr>
        <w:t>或授权代理人：</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（签字）</w:t>
      </w:r>
    </w:p>
    <w:p>
      <w:pPr>
        <w:spacing w:after="0" w:line="560" w:lineRule="exact"/>
        <w:rPr>
          <w:rFonts w:ascii="仿宋_GB2312" w:hAnsi="仿宋_GB2312" w:eastAsia="仿宋_GB2312" w:cs="仿宋_GB2312"/>
          <w:sz w:val="28"/>
          <w:szCs w:val="28"/>
        </w:rPr>
      </w:pPr>
    </w:p>
    <w:p>
      <w:pPr>
        <w:spacing w:after="0" w:line="560" w:lineRule="exact"/>
        <w:rPr>
          <w:rFonts w:ascii="仿宋_GB2312" w:hAnsi="仿宋_GB2312" w:eastAsia="仿宋_GB2312" w:cs="仿宋_GB2312"/>
          <w:sz w:val="28"/>
          <w:szCs w:val="28"/>
        </w:rPr>
      </w:pPr>
    </w:p>
    <w:p>
      <w:pPr>
        <w:spacing w:after="0" w:line="560" w:lineRule="exact"/>
        <w:ind w:firstLine="5320" w:firstLineChars="1900"/>
        <w:rPr>
          <w:rFonts w:ascii="仿宋_GB2312" w:hAnsi="仿宋_GB2312" w:eastAsia="仿宋_GB2312" w:cs="仿宋_GB2312"/>
          <w:sz w:val="28"/>
          <w:szCs w:val="28"/>
        </w:rPr>
      </w:pPr>
      <w:r>
        <w:rPr>
          <w:rFonts w:hint="eastAsia" w:ascii="仿宋_GB2312" w:hAnsi="仿宋_GB2312" w:eastAsia="仿宋_GB2312" w:cs="仿宋_GB2312"/>
          <w:sz w:val="28"/>
          <w:szCs w:val="28"/>
        </w:rPr>
        <w:t>年</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w:t>
      </w:r>
    </w:p>
    <w:p>
      <w:pPr>
        <w:rPr>
          <w:rFonts w:asciiTheme="majorEastAsia" w:hAnsiTheme="majorEastAsia" w:eastAsiaTheme="majorEastAsia"/>
          <w:sz w:val="32"/>
        </w:rPr>
      </w:pPr>
      <w:r>
        <w:rPr>
          <w:rFonts w:asciiTheme="majorEastAsia" w:hAnsiTheme="majorEastAsia" w:eastAsiaTheme="majorEastAsia"/>
          <w:sz w:val="32"/>
        </w:rPr>
        <w:br w:type="page"/>
      </w:r>
    </w:p>
    <w:bookmarkEnd w:id="31"/>
    <w:p>
      <w:pPr>
        <w:ind w:firstLine="5320" w:firstLineChars="1900"/>
        <w:rPr>
          <w:rFonts w:ascii="仿宋_GB2312" w:hAnsi="仿宋_GB2312" w:eastAsia="仿宋_GB2312" w:cs="仿宋_GB2312"/>
          <w:sz w:val="28"/>
          <w:szCs w:val="28"/>
        </w:rPr>
      </w:pPr>
    </w:p>
    <w:p>
      <w:pPr>
        <w:outlineLvl w:val="1"/>
        <w:rPr>
          <w:rFonts w:ascii="宋体" w:hAnsi="宋体" w:eastAsia="宋体" w:cs="仿宋_GB2312"/>
          <w:szCs w:val="32"/>
        </w:rPr>
      </w:pPr>
      <w:bookmarkStart w:id="32" w:name="_Toc96874916"/>
      <w:bookmarkStart w:id="33" w:name="_Toc96874761"/>
      <w:r>
        <w:rPr>
          <w:rFonts w:hint="eastAsia" w:ascii="宋体" w:hAnsi="宋体" w:eastAsia="宋体" w:cs="仿宋_GB2312"/>
          <w:szCs w:val="32"/>
        </w:rPr>
        <w:t>八</w:t>
      </w:r>
      <w:r>
        <w:rPr>
          <w:rFonts w:ascii="宋体" w:hAnsi="宋体" w:eastAsia="宋体" w:cs="仿宋_GB2312"/>
          <w:szCs w:val="32"/>
        </w:rPr>
        <w:t>.</w:t>
      </w:r>
      <w:r>
        <w:rPr>
          <w:rFonts w:hint="eastAsia" w:ascii="宋体" w:hAnsi="宋体" w:eastAsia="宋体" w:cs="仿宋_GB2312"/>
          <w:szCs w:val="32"/>
        </w:rPr>
        <w:t>服务方案</w:t>
      </w:r>
      <w:bookmarkEnd w:id="32"/>
      <w:bookmarkEnd w:id="33"/>
    </w:p>
    <w:p>
      <w:pPr>
        <w:spacing w:line="660" w:lineRule="exact"/>
        <w:jc w:val="center"/>
        <w:rPr>
          <w:rFonts w:ascii="仿宋_GB2312" w:hAnsi="仿宋_GB2312" w:eastAsia="仿宋_GB2312" w:cs="仿宋_GB2312"/>
          <w:b/>
          <w:bCs/>
          <w:sz w:val="32"/>
          <w:szCs w:val="32"/>
        </w:rPr>
      </w:pPr>
      <w:r>
        <w:rPr>
          <w:rFonts w:ascii="仿宋_GB2312" w:hAnsi="仿宋_GB2312" w:eastAsia="仿宋_GB2312" w:cs="仿宋_GB2312"/>
          <w:b/>
          <w:bCs/>
          <w:sz w:val="32"/>
          <w:szCs w:val="32"/>
        </w:rPr>
        <w:t>服务方案</w:t>
      </w:r>
    </w:p>
    <w:p>
      <w:pPr>
        <w:spacing w:after="0"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（格式自拟）</w:t>
      </w:r>
    </w:p>
    <w:p>
      <w:pPr>
        <w:outlineLvl w:val="1"/>
        <w:rPr>
          <w:rFonts w:ascii="宋体" w:hAnsi="宋体" w:eastAsia="宋体" w:cs="仿宋_GB2312"/>
          <w:szCs w:val="32"/>
        </w:rPr>
      </w:pPr>
      <w:r>
        <w:rPr>
          <w:rFonts w:ascii="方正小标宋简体" w:hAnsi="方正小标宋简体" w:eastAsia="方正小标宋简体" w:cs="方正小标宋简体"/>
          <w:sz w:val="32"/>
          <w:szCs w:val="32"/>
        </w:rPr>
        <w:br w:type="page"/>
      </w:r>
      <w:bookmarkStart w:id="34" w:name="_Toc96874917"/>
      <w:bookmarkStart w:id="35" w:name="_Toc96874762"/>
      <w:r>
        <w:rPr>
          <w:rFonts w:hint="eastAsia" w:ascii="宋体" w:hAnsi="宋体" w:eastAsia="宋体" w:cs="仿宋_GB2312"/>
          <w:szCs w:val="32"/>
        </w:rPr>
        <w:t>九</w:t>
      </w:r>
      <w:r>
        <w:rPr>
          <w:rFonts w:ascii="宋体" w:hAnsi="宋体" w:eastAsia="宋体" w:cs="仿宋_GB2312"/>
          <w:szCs w:val="32"/>
        </w:rPr>
        <w:t>.</w:t>
      </w:r>
      <w:r>
        <w:rPr>
          <w:rFonts w:hint="eastAsia" w:ascii="宋体" w:hAnsi="宋体" w:eastAsia="宋体" w:cs="仿宋_GB2312"/>
          <w:szCs w:val="32"/>
        </w:rPr>
        <w:t>其他资料（如有）</w:t>
      </w:r>
      <w:bookmarkEnd w:id="34"/>
      <w:bookmarkEnd w:id="35"/>
    </w:p>
    <w:p>
      <w:pPr>
        <w:spacing w:after="0" w:line="56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注：比选申请人认为需要提供的其他材料（如无，可删除此章节内容）。</w:t>
      </w:r>
      <w:r>
        <w:rPr>
          <w:rFonts w:ascii="方正小标宋简体" w:hAnsi="方正小标宋简体" w:eastAsia="方正小标宋简体" w:cs="方正小标宋简体"/>
          <w:sz w:val="32"/>
          <w:szCs w:val="32"/>
        </w:rPr>
        <w:br w:type="page"/>
      </w:r>
    </w:p>
    <w:p>
      <w:pPr>
        <w:pStyle w:val="29"/>
        <w:spacing w:line="560" w:lineRule="exact"/>
        <w:rPr>
          <w:rFonts w:ascii="仿宋_GB2312" w:eastAsia="仿宋_GB2312"/>
          <w:color w:val="auto"/>
          <w:sz w:val="28"/>
          <w:szCs w:val="28"/>
        </w:rPr>
      </w:pPr>
      <w:r>
        <w:rPr>
          <w:rFonts w:hint="eastAsia" w:ascii="方正小标宋简体" w:hAnsi="方正小标宋简体" w:eastAsia="方正小标宋简体" w:cs="方正小标宋简体"/>
          <w:color w:val="auto"/>
          <w:sz w:val="32"/>
          <w:szCs w:val="32"/>
        </w:rPr>
        <w:t>（注：本表最终报价在谈判结束后现场填报，申请人可提前加盖公章）</w:t>
      </w:r>
    </w:p>
    <w:p>
      <w:pPr>
        <w:pStyle w:val="29"/>
      </w:pPr>
    </w:p>
    <w:p>
      <w:pPr>
        <w:spacing w:line="6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最终报价表</w:t>
      </w:r>
    </w:p>
    <w:p>
      <w:pPr>
        <w:spacing w:before="156" w:beforeLines="5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致：四川蜀道铁路运营管理集团有限责任公司</w:t>
      </w:r>
    </w:p>
    <w:p>
      <w:pPr>
        <w:spacing w:line="560" w:lineRule="exact"/>
        <w:ind w:firstLine="630" w:firstLineChars="225"/>
        <w:rPr>
          <w:rFonts w:ascii="仿宋_GB2312" w:hAnsi="仿宋_GB2312" w:eastAsia="仿宋_GB2312" w:cs="仿宋_GB2312"/>
          <w:sz w:val="28"/>
          <w:szCs w:val="28"/>
        </w:rPr>
      </w:pPr>
      <w:r>
        <w:rPr>
          <w:rFonts w:hint="eastAsia" w:ascii="仿宋_GB2312" w:hAnsi="仿宋_GB2312" w:eastAsia="仿宋_GB2312" w:cs="仿宋_GB2312"/>
          <w:sz w:val="28"/>
          <w:szCs w:val="28"/>
        </w:rPr>
        <w:t>我所经过仔细研究，在充分理解和响应比选文件的基础上，我方对贵公司常年税务顾问服务的最终报价如下：</w:t>
      </w:r>
    </w:p>
    <w:tbl>
      <w:tblPr>
        <w:tblStyle w:val="23"/>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8"/>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948" w:type="dxa"/>
            <w:vAlign w:val="center"/>
          </w:tcPr>
          <w:p>
            <w:pPr>
              <w:widowControl w:val="0"/>
              <w:spacing w:line="560" w:lineRule="exact"/>
              <w:jc w:val="center"/>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申请人名称</w:t>
            </w:r>
          </w:p>
        </w:tc>
        <w:tc>
          <w:tcPr>
            <w:tcW w:w="5670" w:type="dxa"/>
            <w:vAlign w:val="center"/>
          </w:tcPr>
          <w:p>
            <w:pPr>
              <w:widowControl w:val="0"/>
              <w:spacing w:line="560" w:lineRule="exact"/>
              <w:ind w:firstLine="140" w:firstLineChars="50"/>
              <w:jc w:val="center"/>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常年税务顾问服务费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jc w:val="center"/>
        </w:trPr>
        <w:tc>
          <w:tcPr>
            <w:tcW w:w="2948" w:type="dxa"/>
            <w:vAlign w:val="center"/>
          </w:tcPr>
          <w:p>
            <w:pPr>
              <w:widowControl w:val="0"/>
              <w:spacing w:line="560" w:lineRule="exact"/>
              <w:jc w:val="center"/>
              <w:rPr>
                <w:rFonts w:ascii="仿宋_GB2312" w:hAnsi="仿宋_GB2312" w:eastAsia="仿宋_GB2312" w:cs="仿宋_GB2312"/>
                <w:kern w:val="2"/>
                <w:sz w:val="28"/>
                <w:szCs w:val="28"/>
              </w:rPr>
            </w:pPr>
          </w:p>
        </w:tc>
        <w:tc>
          <w:tcPr>
            <w:tcW w:w="5670" w:type="dxa"/>
            <w:vAlign w:val="center"/>
          </w:tcPr>
          <w:p>
            <w:pPr>
              <w:widowControl w:val="0"/>
              <w:spacing w:line="560" w:lineRule="exact"/>
              <w:ind w:firstLine="280" w:firstLineChars="100"/>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rPr>
              <w:t>含税</w:t>
            </w:r>
            <w:r>
              <w:rPr>
                <w:rFonts w:hint="eastAsia" w:ascii="仿宋_GB2312" w:hAnsi="仿宋_GB2312" w:eastAsia="仿宋_GB2312" w:cs="仿宋_GB2312"/>
                <w:kern w:val="2"/>
                <w:sz w:val="28"/>
                <w:szCs w:val="28"/>
              </w:rPr>
              <w:t>金额（小写）：</w:t>
            </w:r>
            <w:r>
              <w:rPr>
                <w:rFonts w:hint="eastAsia" w:ascii="仿宋_GB2312" w:hAnsi="仿宋_GB2312" w:eastAsia="仿宋_GB2312" w:cs="仿宋_GB2312"/>
                <w:kern w:val="2"/>
                <w:sz w:val="28"/>
                <w:szCs w:val="28"/>
                <w:u w:val="single"/>
              </w:rPr>
              <w:t xml:space="preserve">         </w:t>
            </w:r>
            <w:r>
              <w:rPr>
                <w:rFonts w:ascii="仿宋_GB2312" w:hAnsi="仿宋_GB2312" w:eastAsia="仿宋_GB2312" w:cs="仿宋_GB2312"/>
                <w:kern w:val="2"/>
                <w:sz w:val="28"/>
                <w:szCs w:val="28"/>
                <w:u w:val="single"/>
              </w:rPr>
              <w:t>元</w:t>
            </w:r>
            <w:r>
              <w:rPr>
                <w:rFonts w:hint="eastAsia" w:ascii="仿宋_GB2312" w:hAnsi="仿宋_GB2312" w:eastAsia="仿宋_GB2312" w:cs="仿宋_GB2312"/>
                <w:kern w:val="2"/>
                <w:sz w:val="28"/>
                <w:szCs w:val="28"/>
                <w:u w:val="single"/>
                <w:lang w:eastAsia="zh-CN"/>
              </w:rPr>
              <w:t>（</w:t>
            </w:r>
            <w:r>
              <w:rPr>
                <w:rFonts w:hint="eastAsia" w:ascii="仿宋_GB2312" w:hAnsi="仿宋_GB2312" w:eastAsia="仿宋_GB2312" w:cs="仿宋_GB2312"/>
                <w:kern w:val="2"/>
                <w:sz w:val="28"/>
                <w:szCs w:val="28"/>
                <w:u w:val="single"/>
                <w:lang w:val="en-US" w:eastAsia="zh-CN"/>
              </w:rPr>
              <w:t>税率  %</w:t>
            </w:r>
            <w:r>
              <w:rPr>
                <w:rFonts w:hint="eastAsia" w:ascii="仿宋_GB2312" w:hAnsi="仿宋_GB2312" w:eastAsia="仿宋_GB2312" w:cs="仿宋_GB2312"/>
                <w:kern w:val="2"/>
                <w:sz w:val="28"/>
                <w:szCs w:val="28"/>
                <w:u w:val="single"/>
                <w:lang w:eastAsia="zh-CN"/>
              </w:rPr>
              <w:t>）</w:t>
            </w:r>
          </w:p>
          <w:p>
            <w:pPr>
              <w:widowControl w:val="0"/>
              <w:spacing w:line="560" w:lineRule="exact"/>
              <w:ind w:firstLine="280" w:firstLineChars="100"/>
              <w:jc w:val="left"/>
              <w:rPr>
                <w:rFonts w:ascii="仿宋_GB2312" w:hAnsi="仿宋_GB2312" w:eastAsia="仿宋_GB2312" w:cs="仿宋_GB2312"/>
                <w:kern w:val="2"/>
                <w:sz w:val="28"/>
                <w:szCs w:val="28"/>
              </w:rPr>
            </w:pPr>
            <w:r>
              <w:rPr>
                <w:rFonts w:ascii="仿宋_GB2312" w:hAnsi="仿宋_GB2312" w:eastAsia="仿宋_GB2312" w:cs="仿宋_GB2312"/>
                <w:kern w:val="2"/>
                <w:sz w:val="28"/>
                <w:szCs w:val="28"/>
              </w:rPr>
              <w:t>(大写：</w:t>
            </w:r>
            <w:r>
              <w:rPr>
                <w:rFonts w:hint="eastAsia" w:ascii="仿宋_GB2312" w:hAnsi="仿宋_GB2312" w:eastAsia="仿宋_GB2312" w:cs="仿宋_GB2312"/>
                <w:kern w:val="2"/>
                <w:sz w:val="28"/>
                <w:szCs w:val="28"/>
              </w:rPr>
              <w:t>人民币</w:t>
            </w:r>
            <w:r>
              <w:rPr>
                <w:rFonts w:ascii="仿宋_GB2312" w:hAnsi="仿宋_GB2312" w:eastAsia="仿宋_GB2312" w:cs="仿宋_GB2312"/>
                <w:kern w:val="2"/>
                <w:sz w:val="28"/>
                <w:szCs w:val="28"/>
                <w:u w:val="single"/>
              </w:rPr>
              <w:t xml:space="preserve">  </w:t>
            </w:r>
            <w:r>
              <w:rPr>
                <w:rFonts w:hint="eastAsia" w:ascii="仿宋_GB2312" w:hAnsi="仿宋_GB2312" w:eastAsia="仿宋_GB2312" w:cs="仿宋_GB2312"/>
                <w:kern w:val="2"/>
                <w:sz w:val="28"/>
                <w:szCs w:val="28"/>
                <w:u w:val="single"/>
              </w:rPr>
              <w:t xml:space="preserve">        </w:t>
            </w:r>
            <w:r>
              <w:rPr>
                <w:rFonts w:ascii="仿宋_GB2312" w:hAnsi="仿宋_GB2312" w:eastAsia="仿宋_GB2312" w:cs="仿宋_GB2312"/>
                <w:kern w:val="2"/>
                <w:sz w:val="28"/>
                <w:szCs w:val="28"/>
                <w:u w:val="single"/>
              </w:rPr>
              <w:t xml:space="preserve">        </w:t>
            </w:r>
            <w:r>
              <w:rPr>
                <w:rFonts w:hint="eastAsia" w:ascii="仿宋_GB2312" w:hAnsi="仿宋_GB2312" w:eastAsia="仿宋_GB2312" w:cs="仿宋_GB2312"/>
                <w:kern w:val="2"/>
                <w:sz w:val="28"/>
                <w:szCs w:val="28"/>
              </w:rPr>
              <w:t>）</w:t>
            </w:r>
          </w:p>
        </w:tc>
      </w:tr>
    </w:tbl>
    <w:p>
      <w:pPr>
        <w:spacing w:after="0" w:line="440" w:lineRule="exact"/>
        <w:jc w:val="both"/>
        <w:rPr>
          <w:rFonts w:asciiTheme="majorEastAsia" w:hAnsiTheme="majorEastAsia" w:eastAsiaTheme="majorEastAsia"/>
        </w:rPr>
      </w:pPr>
      <w:r>
        <w:rPr>
          <w:rFonts w:hint="eastAsia" w:asciiTheme="majorEastAsia" w:hAnsiTheme="majorEastAsia" w:eastAsiaTheme="majorEastAsia"/>
          <w:b/>
        </w:rPr>
        <w:t>注：</w:t>
      </w:r>
      <w:r>
        <w:rPr>
          <w:rFonts w:hint="eastAsia" w:asciiTheme="majorEastAsia" w:hAnsiTheme="majorEastAsia" w:eastAsiaTheme="majorEastAsia"/>
        </w:rPr>
        <w:t>1、最终报价包括比选申请人完成本项目所需的一切费用。</w:t>
      </w:r>
    </w:p>
    <w:p>
      <w:pPr>
        <w:spacing w:after="0" w:line="440" w:lineRule="exact"/>
        <w:ind w:firstLine="440" w:firstLineChars="200"/>
        <w:jc w:val="both"/>
        <w:rPr>
          <w:rFonts w:asciiTheme="majorEastAsia" w:hAnsiTheme="majorEastAsia" w:eastAsiaTheme="majorEastAsia"/>
        </w:rPr>
      </w:pPr>
      <w:r>
        <w:rPr>
          <w:rFonts w:hint="eastAsia" w:asciiTheme="majorEastAsia" w:hAnsiTheme="majorEastAsia" w:eastAsiaTheme="majorEastAsia"/>
        </w:rPr>
        <w:t>2、本表在谈判结束后由比选申请人的律所负责人或委托代理人手工填写最终报价。</w:t>
      </w:r>
    </w:p>
    <w:p>
      <w:pPr>
        <w:spacing w:after="0" w:line="440" w:lineRule="exact"/>
        <w:ind w:firstLine="440" w:firstLineChars="200"/>
        <w:jc w:val="both"/>
        <w:rPr>
          <w:rFonts w:asciiTheme="majorEastAsia" w:hAnsiTheme="majorEastAsia" w:eastAsiaTheme="majorEastAsia"/>
        </w:rPr>
      </w:pPr>
      <w:r>
        <w:rPr>
          <w:rFonts w:hint="eastAsia" w:asciiTheme="majorEastAsia" w:hAnsiTheme="majorEastAsia" w:eastAsiaTheme="majorEastAsia"/>
        </w:rPr>
        <w:t>3、最终报价超过本项目预算的，作无效响应处理；</w:t>
      </w:r>
    </w:p>
    <w:p>
      <w:pPr>
        <w:spacing w:after="0" w:line="440" w:lineRule="exact"/>
        <w:ind w:firstLine="440" w:firstLineChars="200"/>
        <w:jc w:val="both"/>
        <w:rPr>
          <w:rFonts w:asciiTheme="majorEastAsia" w:hAnsiTheme="majorEastAsia" w:eastAsiaTheme="majorEastAsia"/>
        </w:rPr>
      </w:pPr>
      <w:r>
        <w:rPr>
          <w:rFonts w:hint="eastAsia" w:asciiTheme="majorEastAsia" w:hAnsiTheme="majorEastAsia" w:eastAsiaTheme="majorEastAsia"/>
        </w:rPr>
        <w:t>4、最终报价用于报价评分,并作为与各公司签订合同的费用依据。</w:t>
      </w:r>
    </w:p>
    <w:p>
      <w:pPr>
        <w:pStyle w:val="4"/>
      </w:pPr>
    </w:p>
    <w:p>
      <w:pPr>
        <w:spacing w:after="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比选申请人：</w:t>
      </w:r>
      <w:r>
        <w:rPr>
          <w:rFonts w:ascii="仿宋_GB2312" w:hAnsi="仿宋_GB2312" w:eastAsia="仿宋_GB2312" w:cs="仿宋_GB2312"/>
          <w:sz w:val="28"/>
          <w:szCs w:val="28"/>
        </w:rPr>
        <w:t xml:space="preserve">                （单位盖章）</w:t>
      </w:r>
    </w:p>
    <w:p>
      <w:pPr>
        <w:spacing w:after="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法定代表人（负责人）或授权代理人：</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（签字）</w:t>
      </w:r>
    </w:p>
    <w:p>
      <w:pPr>
        <w:spacing w:after="0" w:line="440" w:lineRule="exact"/>
        <w:ind w:firstLine="640" w:firstLineChars="200"/>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z w:val="32"/>
          <w:szCs w:val="32"/>
        </w:rPr>
        <w:br w:type="page"/>
      </w:r>
    </w:p>
    <w:p>
      <w:pPr>
        <w:spacing w:after="0" w:line="560" w:lineRule="exact"/>
        <w:ind w:firstLine="880" w:firstLineChars="200"/>
        <w:jc w:val="center"/>
        <w:rPr>
          <w:rFonts w:hint="eastAsia" w:ascii="方正小标宋简体" w:hAnsi="方正小标宋简体" w:eastAsia="方正小标宋简体" w:cs="方正小标宋简体"/>
          <w:bCs/>
          <w:kern w:val="44"/>
          <w:sz w:val="44"/>
          <w:szCs w:val="44"/>
        </w:rPr>
      </w:pPr>
      <w:bookmarkStart w:id="36" w:name="_Toc96874918"/>
      <w:r>
        <w:rPr>
          <w:rFonts w:hint="eastAsia" w:ascii="方正小标宋简体" w:hAnsi="方正小标宋简体" w:eastAsia="方正小标宋简体" w:cs="方正小标宋简体"/>
          <w:bCs/>
          <w:kern w:val="44"/>
          <w:sz w:val="44"/>
          <w:szCs w:val="44"/>
        </w:rPr>
        <w:t>第五章  评审办法</w:t>
      </w:r>
      <w:bookmarkEnd w:id="36"/>
    </w:p>
    <w:p>
      <w:pPr>
        <w:numPr>
          <w:ilvl w:val="0"/>
          <w:numId w:val="5"/>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评审委员会的确定</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评审委员会由比选人按相关规定选取，评审委员会人数为5人。</w:t>
      </w:r>
    </w:p>
    <w:p>
      <w:pPr>
        <w:numPr>
          <w:ilvl w:val="0"/>
          <w:numId w:val="5"/>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评审程序</w:t>
      </w:r>
    </w:p>
    <w:p>
      <w:pPr>
        <w:spacing w:after="0" w:line="560" w:lineRule="exact"/>
        <w:ind w:firstLine="640" w:firstLineChars="200"/>
        <w:jc w:val="both"/>
        <w:rPr>
          <w:rFonts w:ascii="仿宋_GB2312" w:hAnsi="仿宋_GB2312" w:eastAsia="仿宋_GB2312" w:cs="仿宋_GB2312"/>
          <w:sz w:val="28"/>
          <w:szCs w:val="28"/>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评审程序</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资格审查→初步评审→谈判→详细评审评分→编写评审报告。</w:t>
      </w:r>
    </w:p>
    <w:p>
      <w:pPr>
        <w:spacing w:after="0" w:line="560"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资格审查</w:t>
      </w:r>
    </w:p>
    <w:p>
      <w:pPr>
        <w:spacing w:after="0" w:line="560" w:lineRule="exact"/>
        <w:ind w:firstLine="640" w:firstLineChars="200"/>
        <w:jc w:val="both"/>
        <w:rPr>
          <w:rFonts w:ascii="仿宋_GB2312" w:hAnsi="仿宋_GB2312" w:eastAsia="仿宋_GB2312" w:cs="仿宋_GB2312"/>
          <w:sz w:val="28"/>
          <w:szCs w:val="28"/>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评审委员会将对比选申请文件的下列内容进行审查和复核。</w:t>
      </w:r>
    </w:p>
    <w:p>
      <w:pPr>
        <w:pStyle w:val="3"/>
        <w:widowControl w:val="0"/>
        <w:tabs>
          <w:tab w:val="left" w:pos="600"/>
        </w:tabs>
        <w:adjustRightInd/>
        <w:snapToGrid/>
        <w:spacing w:after="0" w:line="600" w:lineRule="exact"/>
        <w:ind w:left="0" w:leftChars="0"/>
        <w:jc w:val="center"/>
        <w:rPr>
          <w:rFonts w:ascii="仿宋_GB2312" w:hAnsi="宋体" w:eastAsia="仿宋_GB2312" w:cs="宋体"/>
          <w:b/>
          <w:bCs/>
          <w:color w:val="000000"/>
          <w:kern w:val="2"/>
          <w:sz w:val="28"/>
          <w:szCs w:val="20"/>
        </w:rPr>
      </w:pPr>
      <w:r>
        <w:rPr>
          <w:rFonts w:hint="eastAsia" w:ascii="仿宋_GB2312" w:hAnsi="宋体" w:eastAsia="仿宋_GB2312" w:cs="宋体"/>
          <w:b/>
          <w:bCs/>
          <w:color w:val="000000"/>
          <w:kern w:val="2"/>
          <w:sz w:val="28"/>
          <w:szCs w:val="20"/>
        </w:rPr>
        <w:t>比选申请文件资格审查表</w:t>
      </w:r>
    </w:p>
    <w:tbl>
      <w:tblPr>
        <w:tblStyle w:val="22"/>
        <w:tblW w:w="7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550"/>
        <w:gridCol w:w="3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vAlign w:val="center"/>
          </w:tcPr>
          <w:p>
            <w:pPr>
              <w:spacing w:after="0" w:line="400" w:lineRule="exact"/>
              <w:jc w:val="center"/>
              <w:rPr>
                <w:rFonts w:cs="宋体" w:asciiTheme="minorEastAsia" w:hAnsiTheme="minorEastAsia" w:eastAsiaTheme="minorEastAsia"/>
                <w:b/>
                <w:bCs/>
                <w:kern w:val="2"/>
                <w:sz w:val="24"/>
              </w:rPr>
            </w:pPr>
            <w:r>
              <w:rPr>
                <w:rFonts w:hint="eastAsia" w:cs="宋体" w:asciiTheme="minorEastAsia" w:hAnsiTheme="minorEastAsia" w:eastAsiaTheme="minorEastAsia"/>
                <w:b/>
                <w:bCs/>
                <w:kern w:val="2"/>
                <w:sz w:val="24"/>
              </w:rPr>
              <w:t>序号</w:t>
            </w:r>
          </w:p>
        </w:tc>
        <w:tc>
          <w:tcPr>
            <w:tcW w:w="3550" w:type="dxa"/>
            <w:vAlign w:val="center"/>
          </w:tcPr>
          <w:p>
            <w:pPr>
              <w:spacing w:after="0" w:line="400" w:lineRule="exact"/>
              <w:jc w:val="center"/>
              <w:rPr>
                <w:rFonts w:cs="宋体" w:asciiTheme="minorEastAsia" w:hAnsiTheme="minorEastAsia" w:eastAsiaTheme="minorEastAsia"/>
                <w:b/>
                <w:bCs/>
                <w:kern w:val="2"/>
                <w:sz w:val="24"/>
              </w:rPr>
            </w:pPr>
            <w:r>
              <w:rPr>
                <w:rFonts w:hint="eastAsia" w:cs="宋体" w:asciiTheme="minorEastAsia" w:hAnsiTheme="minorEastAsia" w:eastAsiaTheme="minorEastAsia"/>
                <w:b/>
                <w:bCs/>
                <w:kern w:val="2"/>
                <w:sz w:val="24"/>
              </w:rPr>
              <w:t>审查内容</w:t>
            </w:r>
          </w:p>
        </w:tc>
        <w:tc>
          <w:tcPr>
            <w:tcW w:w="3512" w:type="dxa"/>
            <w:vAlign w:val="center"/>
          </w:tcPr>
          <w:p>
            <w:pPr>
              <w:spacing w:after="0" w:line="400" w:lineRule="exact"/>
              <w:jc w:val="center"/>
              <w:rPr>
                <w:rFonts w:cs="宋体" w:asciiTheme="minorEastAsia" w:hAnsiTheme="minorEastAsia" w:eastAsiaTheme="minorEastAsia"/>
                <w:b/>
                <w:bCs/>
                <w:kern w:val="2"/>
                <w:sz w:val="24"/>
              </w:rPr>
            </w:pPr>
            <w:r>
              <w:rPr>
                <w:rFonts w:hint="eastAsia" w:cs="宋体" w:asciiTheme="minorEastAsia" w:hAnsiTheme="minorEastAsia" w:eastAsiaTheme="minorEastAsia"/>
                <w:b/>
                <w:bCs/>
                <w:kern w:val="2"/>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vAlign w:val="center"/>
          </w:tcPr>
          <w:p>
            <w:pPr>
              <w:spacing w:after="0" w:line="400" w:lineRule="exact"/>
              <w:jc w:val="center"/>
              <w:rPr>
                <w:rFonts w:cs="宋体" w:asciiTheme="minorEastAsia" w:hAnsiTheme="minorEastAsia" w:eastAsiaTheme="minorEastAsia"/>
                <w:kern w:val="2"/>
                <w:sz w:val="24"/>
              </w:rPr>
            </w:pPr>
            <w:r>
              <w:rPr>
                <w:rFonts w:cs="宋体" w:asciiTheme="minorEastAsia" w:hAnsiTheme="minorEastAsia" w:eastAsiaTheme="minorEastAsia"/>
                <w:kern w:val="2"/>
                <w:sz w:val="24"/>
              </w:rPr>
              <w:t>1</w:t>
            </w:r>
          </w:p>
        </w:tc>
        <w:tc>
          <w:tcPr>
            <w:tcW w:w="3550"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税务师事务所要求</w:t>
            </w:r>
          </w:p>
        </w:tc>
        <w:tc>
          <w:tcPr>
            <w:tcW w:w="3512"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vAlign w:val="center"/>
          </w:tcPr>
          <w:p>
            <w:pPr>
              <w:spacing w:after="0" w:line="400" w:lineRule="exact"/>
              <w:jc w:val="center"/>
              <w:rPr>
                <w:rFonts w:cs="宋体" w:asciiTheme="minorEastAsia" w:hAnsiTheme="minorEastAsia" w:eastAsiaTheme="minorEastAsia"/>
                <w:kern w:val="2"/>
                <w:sz w:val="24"/>
              </w:rPr>
            </w:pPr>
            <w:r>
              <w:rPr>
                <w:rFonts w:cs="宋体" w:asciiTheme="minorEastAsia" w:hAnsiTheme="minorEastAsia" w:eastAsiaTheme="minorEastAsia"/>
                <w:kern w:val="2"/>
                <w:sz w:val="24"/>
              </w:rPr>
              <w:t>2</w:t>
            </w:r>
          </w:p>
        </w:tc>
        <w:tc>
          <w:tcPr>
            <w:tcW w:w="3550" w:type="dxa"/>
            <w:vAlign w:val="center"/>
          </w:tcPr>
          <w:p>
            <w:pPr>
              <w:spacing w:after="0"/>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服务顾问团队要求</w:t>
            </w:r>
          </w:p>
        </w:tc>
        <w:tc>
          <w:tcPr>
            <w:tcW w:w="3512"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vAlign w:val="center"/>
          </w:tcPr>
          <w:p>
            <w:pPr>
              <w:spacing w:after="0" w:line="400" w:lineRule="exact"/>
              <w:jc w:val="center"/>
              <w:rPr>
                <w:rFonts w:cs="宋体" w:asciiTheme="minorEastAsia" w:hAnsiTheme="minorEastAsia" w:eastAsiaTheme="minorEastAsia"/>
                <w:kern w:val="2"/>
                <w:sz w:val="24"/>
              </w:rPr>
            </w:pPr>
            <w:r>
              <w:rPr>
                <w:rFonts w:cs="宋体" w:asciiTheme="minorEastAsia" w:hAnsiTheme="minorEastAsia" w:eastAsiaTheme="minorEastAsia"/>
                <w:kern w:val="2"/>
                <w:sz w:val="24"/>
              </w:rPr>
              <w:t>3</w:t>
            </w:r>
          </w:p>
        </w:tc>
        <w:tc>
          <w:tcPr>
            <w:tcW w:w="3550" w:type="dxa"/>
            <w:vAlign w:val="center"/>
          </w:tcPr>
          <w:p>
            <w:pPr>
              <w:spacing w:after="0"/>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结论</w:t>
            </w:r>
          </w:p>
        </w:tc>
        <w:tc>
          <w:tcPr>
            <w:tcW w:w="3512"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以上条件必须全部通过</w:t>
            </w:r>
          </w:p>
        </w:tc>
      </w:tr>
    </w:tbl>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资格审查结论为“合格”与“不合格”。</w:t>
      </w:r>
    </w:p>
    <w:p>
      <w:pPr>
        <w:spacing w:after="0" w:line="50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资格审查</w:t>
      </w:r>
      <w:r>
        <w:rPr>
          <w:rFonts w:hint="eastAsia" w:ascii="仿宋_GB2312" w:hAnsi="仿宋_GB2312" w:eastAsia="仿宋_GB2312" w:cs="仿宋_GB2312"/>
          <w:sz w:val="32"/>
          <w:szCs w:val="32"/>
          <w:lang w:val="en-US" w:eastAsia="zh-CN"/>
        </w:rPr>
        <w:t>一般</w:t>
      </w:r>
      <w:r>
        <w:rPr>
          <w:rFonts w:hint="eastAsia" w:ascii="仿宋_GB2312" w:hAnsi="仿宋_GB2312" w:eastAsia="仿宋_GB2312" w:cs="仿宋_GB2312"/>
          <w:sz w:val="32"/>
          <w:szCs w:val="32"/>
        </w:rPr>
        <w:t>实行强制性合格评审，凡有一项不合格则不能通过。</w:t>
      </w:r>
      <w:r>
        <w:rPr>
          <w:rFonts w:hint="eastAsia" w:ascii="仿宋_GB2312" w:hAnsi="仿宋_GB2312" w:eastAsia="仿宋_GB2312" w:cs="仿宋_GB2312"/>
          <w:sz w:val="32"/>
          <w:szCs w:val="32"/>
          <w:lang w:val="en-US" w:eastAsia="zh-CN"/>
        </w:rPr>
        <w:t>但若比选按申请人及时进行有关澄清说明并予以补正，则在评审专家一致同意后进入下一步评审程序。</w:t>
      </w:r>
    </w:p>
    <w:p>
      <w:pPr>
        <w:spacing w:after="0" w:line="560"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初步评审</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初步评审主要为评审委员会对各比选申请文件是否在实质上响应了比选文件要求进行评审。</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若比选申请文件有下表中所列任何一种情况的，则视为未能在实质上响应比选文件，属重大偏差，将不进入下一步评审程序。</w:t>
      </w:r>
    </w:p>
    <w:p>
      <w:pPr>
        <w:pStyle w:val="3"/>
        <w:widowControl w:val="0"/>
        <w:tabs>
          <w:tab w:val="left" w:pos="600"/>
        </w:tabs>
        <w:adjustRightInd/>
        <w:snapToGrid/>
        <w:spacing w:after="0" w:line="600" w:lineRule="exact"/>
        <w:ind w:left="0" w:leftChars="0"/>
        <w:jc w:val="center"/>
        <w:rPr>
          <w:rFonts w:ascii="仿宋_GB2312" w:hAnsi="宋体" w:eastAsia="仿宋_GB2312" w:cs="宋体"/>
          <w:b/>
          <w:bCs/>
          <w:color w:val="000000"/>
          <w:kern w:val="2"/>
          <w:sz w:val="28"/>
          <w:szCs w:val="20"/>
        </w:rPr>
      </w:pPr>
      <w:r>
        <w:rPr>
          <w:rFonts w:hint="eastAsia" w:ascii="仿宋_GB2312" w:hAnsi="宋体" w:eastAsia="仿宋_GB2312" w:cs="宋体"/>
          <w:b/>
          <w:bCs/>
          <w:color w:val="000000"/>
          <w:kern w:val="2"/>
          <w:sz w:val="28"/>
          <w:szCs w:val="20"/>
        </w:rPr>
        <w:t>比选申请文件初步评审表</w:t>
      </w:r>
    </w:p>
    <w:tbl>
      <w:tblPr>
        <w:tblStyle w:val="22"/>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5735"/>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52" w:type="dxa"/>
            <w:vAlign w:val="center"/>
          </w:tcPr>
          <w:p>
            <w:pPr>
              <w:spacing w:after="0" w:line="400" w:lineRule="exact"/>
              <w:jc w:val="center"/>
              <w:rPr>
                <w:rFonts w:cs="宋体" w:asciiTheme="minorEastAsia" w:hAnsiTheme="minorEastAsia" w:eastAsiaTheme="minorEastAsia"/>
                <w:b/>
                <w:bCs/>
                <w:kern w:val="2"/>
                <w:sz w:val="24"/>
              </w:rPr>
            </w:pPr>
            <w:r>
              <w:rPr>
                <w:rFonts w:hint="eastAsia" w:cs="宋体" w:asciiTheme="minorEastAsia" w:hAnsiTheme="minorEastAsia" w:eastAsiaTheme="minorEastAsia"/>
                <w:b/>
                <w:bCs/>
                <w:kern w:val="2"/>
                <w:sz w:val="24"/>
              </w:rPr>
              <w:t>序号</w:t>
            </w:r>
          </w:p>
        </w:tc>
        <w:tc>
          <w:tcPr>
            <w:tcW w:w="5735" w:type="dxa"/>
            <w:vAlign w:val="center"/>
          </w:tcPr>
          <w:p>
            <w:pPr>
              <w:spacing w:after="0" w:line="400" w:lineRule="exact"/>
              <w:jc w:val="center"/>
              <w:rPr>
                <w:rFonts w:cs="宋体" w:asciiTheme="minorEastAsia" w:hAnsiTheme="minorEastAsia" w:eastAsiaTheme="minorEastAsia"/>
                <w:b/>
                <w:bCs/>
                <w:kern w:val="2"/>
                <w:sz w:val="24"/>
              </w:rPr>
            </w:pPr>
            <w:r>
              <w:rPr>
                <w:rFonts w:hint="eastAsia" w:cs="宋体" w:asciiTheme="minorEastAsia" w:hAnsiTheme="minorEastAsia" w:eastAsiaTheme="minorEastAsia"/>
                <w:b/>
                <w:bCs/>
                <w:kern w:val="2"/>
                <w:sz w:val="24"/>
              </w:rPr>
              <w:t>重大偏差情况</w:t>
            </w:r>
          </w:p>
        </w:tc>
        <w:tc>
          <w:tcPr>
            <w:tcW w:w="2289" w:type="dxa"/>
            <w:vAlign w:val="center"/>
          </w:tcPr>
          <w:p>
            <w:pPr>
              <w:spacing w:after="0" w:line="400" w:lineRule="exact"/>
              <w:jc w:val="center"/>
              <w:rPr>
                <w:rFonts w:cs="宋体" w:asciiTheme="minorEastAsia" w:hAnsiTheme="minorEastAsia" w:eastAsiaTheme="minorEastAsia"/>
                <w:b/>
                <w:bCs/>
                <w:kern w:val="2"/>
                <w:sz w:val="24"/>
              </w:rPr>
            </w:pPr>
            <w:r>
              <w:rPr>
                <w:rFonts w:hint="eastAsia" w:cs="宋体" w:asciiTheme="minorEastAsia" w:hAnsiTheme="minorEastAsia" w:eastAsiaTheme="minorEastAsia"/>
                <w:b/>
                <w:bCs/>
                <w:kern w:val="2"/>
                <w:sz w:val="24"/>
              </w:rPr>
              <w:t>是否存在重大偏差（填写“是”或“否”）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52"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1</w:t>
            </w:r>
          </w:p>
        </w:tc>
        <w:tc>
          <w:tcPr>
            <w:tcW w:w="5735"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比选申请文件签字或盖章不符合比选文件要求的</w:t>
            </w:r>
          </w:p>
        </w:tc>
        <w:tc>
          <w:tcPr>
            <w:tcW w:w="2289" w:type="dxa"/>
            <w:vAlign w:val="center"/>
          </w:tcPr>
          <w:p>
            <w:pPr>
              <w:spacing w:after="0" w:line="400" w:lineRule="exact"/>
              <w:jc w:val="center"/>
              <w:rPr>
                <w:rFonts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52"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2</w:t>
            </w:r>
          </w:p>
        </w:tc>
        <w:tc>
          <w:tcPr>
            <w:tcW w:w="5735"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明显不符合国家有关法规、文件和标准的要求的</w:t>
            </w:r>
          </w:p>
        </w:tc>
        <w:tc>
          <w:tcPr>
            <w:tcW w:w="2289" w:type="dxa"/>
            <w:vAlign w:val="center"/>
          </w:tcPr>
          <w:p>
            <w:pPr>
              <w:spacing w:after="0" w:line="400" w:lineRule="exact"/>
              <w:jc w:val="center"/>
              <w:rPr>
                <w:rFonts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52"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3</w:t>
            </w:r>
          </w:p>
        </w:tc>
        <w:tc>
          <w:tcPr>
            <w:tcW w:w="5735"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比选申请文件格式、内容不全或关键字迹模糊、无法辨认的</w:t>
            </w:r>
          </w:p>
        </w:tc>
        <w:tc>
          <w:tcPr>
            <w:tcW w:w="2289" w:type="dxa"/>
            <w:vAlign w:val="center"/>
          </w:tcPr>
          <w:p>
            <w:pPr>
              <w:spacing w:after="0" w:line="400" w:lineRule="exact"/>
              <w:jc w:val="center"/>
              <w:rPr>
                <w:rFonts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52"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4</w:t>
            </w:r>
          </w:p>
        </w:tc>
        <w:tc>
          <w:tcPr>
            <w:tcW w:w="5735"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比选申请人的报价不符合比选文件规定的</w:t>
            </w:r>
          </w:p>
        </w:tc>
        <w:tc>
          <w:tcPr>
            <w:tcW w:w="2289" w:type="dxa"/>
            <w:vAlign w:val="center"/>
          </w:tcPr>
          <w:p>
            <w:pPr>
              <w:spacing w:after="0" w:line="400" w:lineRule="exact"/>
              <w:jc w:val="center"/>
              <w:rPr>
                <w:rFonts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52"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5</w:t>
            </w:r>
          </w:p>
        </w:tc>
        <w:tc>
          <w:tcPr>
            <w:tcW w:w="5735"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比选申请文件附有比选人不能接受的条件的</w:t>
            </w:r>
          </w:p>
        </w:tc>
        <w:tc>
          <w:tcPr>
            <w:tcW w:w="2289" w:type="dxa"/>
            <w:vAlign w:val="center"/>
          </w:tcPr>
          <w:p>
            <w:pPr>
              <w:spacing w:after="0" w:line="400" w:lineRule="exact"/>
              <w:jc w:val="center"/>
              <w:rPr>
                <w:rFonts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487" w:type="dxa"/>
            <w:gridSpan w:val="2"/>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结论（应填写“通过”或“不通过”）</w:t>
            </w:r>
          </w:p>
        </w:tc>
        <w:tc>
          <w:tcPr>
            <w:tcW w:w="2289" w:type="dxa"/>
            <w:vAlign w:val="center"/>
          </w:tcPr>
          <w:p>
            <w:pPr>
              <w:spacing w:after="0" w:line="400" w:lineRule="exact"/>
              <w:jc w:val="center"/>
              <w:rPr>
                <w:rFonts w:cs="宋体" w:asciiTheme="minorEastAsia" w:hAnsiTheme="minorEastAsia" w:eastAsiaTheme="minorEastAsia"/>
                <w:kern w:val="2"/>
                <w:sz w:val="24"/>
              </w:rPr>
            </w:pPr>
          </w:p>
        </w:tc>
      </w:tr>
    </w:tbl>
    <w:p>
      <w:pPr>
        <w:spacing w:after="0" w:line="560" w:lineRule="exact"/>
        <w:ind w:firstLine="640" w:firstLineChars="200"/>
        <w:jc w:val="both"/>
        <w:rPr>
          <w:rFonts w:ascii="仿宋_GB2312" w:hAnsi="仿宋_GB2312" w:eastAsia="仿宋_GB2312" w:cs="仿宋_GB2312"/>
          <w:sz w:val="28"/>
          <w:szCs w:val="28"/>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上述重大偏差之外的偏差为细微偏差。评审专家应当书面要求存在细微偏差的比选申请人在详细评审前予以补正。有关澄清说明与答复，比选申请人应以书面形式进行，但对实质性的内容不得更改。澄清问题作为比选申请文件的组成部分。</w:t>
      </w:r>
    </w:p>
    <w:p>
      <w:pPr>
        <w:spacing w:after="0" w:line="560"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谈判</w:t>
      </w:r>
    </w:p>
    <w:p>
      <w:pPr>
        <w:spacing w:after="0"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评审委员会所有成员集中与单一比选申请人分别进行一轮或多轮谈判，并给予所有参加谈判的比选申请人平等的谈判机会。谈判顺序以随机方式确定。</w:t>
      </w:r>
    </w:p>
    <w:p>
      <w:pPr>
        <w:spacing w:after="0"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谈判过程中，谈判的任何一方不得透露与谈判有关的其他比选申请人的相关资料、价格和其他信息。</w:t>
      </w:r>
    </w:p>
    <w:p>
      <w:pPr>
        <w:spacing w:after="0"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谈判过程中，评审委员会发现或者知晓比选申请人存在违法、违纪行为的，评审委员会应当将有权否决该比选申请人，不允许其提交最终报价。</w:t>
      </w:r>
    </w:p>
    <w:p>
      <w:pPr>
        <w:spacing w:after="0" w:line="560" w:lineRule="exact"/>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(五)最终报价</w:t>
      </w:r>
    </w:p>
    <w:p>
      <w:pPr>
        <w:spacing w:after="0"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谈判结束后，所有实质性响应的比选申请人在规定时间内提交最终报价表，未提交最终报价表的，其最终报价以比选申请文件报价函为准。且其最终报价不得高于对该项目最高限价，否则，评审委员会应当对其比选申请文件按无效处理。</w:t>
      </w:r>
    </w:p>
    <w:p>
      <w:pPr>
        <w:spacing w:after="0"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比选申请人应当保障最终报价表（表格格式详见第三章比选申请文件格式）加盖公章，在谈判结束后由比选申请人的</w:t>
      </w:r>
      <w:r>
        <w:rPr>
          <w:rFonts w:hint="eastAsia" w:ascii="仿宋_GB2312" w:hAnsi="仿宋_GB2312" w:eastAsia="仿宋_GB2312" w:cs="仿宋_GB2312"/>
          <w:sz w:val="32"/>
          <w:szCs w:val="32"/>
          <w:lang w:val="en-US" w:eastAsia="zh-CN"/>
        </w:rPr>
        <w:t>税务师事务所</w:t>
      </w:r>
      <w:r>
        <w:rPr>
          <w:rFonts w:hint="eastAsia" w:ascii="仿宋_GB2312" w:hAnsi="仿宋_GB2312" w:eastAsia="仿宋_GB2312" w:cs="仿宋_GB2312"/>
          <w:sz w:val="32"/>
          <w:szCs w:val="32"/>
          <w:lang w:eastAsia="zh-CN"/>
        </w:rPr>
        <w:t>负责人或委托代理人手工填写最终报价。最终报价表是比选申请人比选申请文件的有效组成部分。</w:t>
      </w:r>
    </w:p>
    <w:p>
      <w:pPr>
        <w:spacing w:after="0"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最终报价中的算术错误将按以下方法修正：大写金额和小写金额不一致的，以大写金额为准；如果小写、大写金额出现明显文字错误，应当按照澄清、说明。</w:t>
      </w:r>
    </w:p>
    <w:p>
      <w:pPr>
        <w:spacing w:after="0" w:line="560" w:lineRule="exact"/>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(六)详细评审</w:t>
      </w:r>
    </w:p>
    <w:p>
      <w:pPr>
        <w:spacing w:after="0"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评审委员会集中审查比选申请文件，对符合比选资格要求的律所按照《评分细则》打分。</w:t>
      </w:r>
    </w:p>
    <w:p>
      <w:pPr>
        <w:spacing w:after="0"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后附：评分细则</w:t>
      </w:r>
      <w:r>
        <w:rPr>
          <w:rFonts w:hint="eastAsia" w:ascii="仿宋_GB2312" w:hAnsi="仿宋_GB2312" w:eastAsia="仿宋_GB2312" w:cs="仿宋_GB2312"/>
          <w:sz w:val="32"/>
          <w:szCs w:val="32"/>
          <w:lang w:eastAsia="zh-CN"/>
        </w:rPr>
        <w:br w:type="page"/>
      </w:r>
    </w:p>
    <w:tbl>
      <w:tblPr>
        <w:tblStyle w:val="22"/>
        <w:tblpPr w:leftFromText="180" w:rightFromText="180" w:vertAnchor="text" w:horzAnchor="page" w:tblpXSpec="center" w:tblpY="633"/>
        <w:tblOverlap w:val="never"/>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792"/>
        <w:gridCol w:w="1199"/>
        <w:gridCol w:w="5980"/>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17" w:type="dxa"/>
            <w:vAlign w:val="center"/>
          </w:tcPr>
          <w:p>
            <w:pPr>
              <w:spacing w:line="280" w:lineRule="exact"/>
              <w:jc w:val="center"/>
              <w:rPr>
                <w:rFonts w:ascii="仿宋" w:hAnsi="仿宋" w:eastAsia="仿宋" w:cs="宋体"/>
                <w:b/>
                <w:kern w:val="2"/>
                <w:sz w:val="24"/>
              </w:rPr>
            </w:pPr>
            <w:r>
              <w:rPr>
                <w:rFonts w:hint="eastAsia" w:ascii="仿宋" w:hAnsi="仿宋" w:eastAsia="仿宋" w:cs="宋体"/>
                <w:b/>
                <w:kern w:val="2"/>
                <w:sz w:val="24"/>
              </w:rPr>
              <w:t>序号</w:t>
            </w:r>
          </w:p>
        </w:tc>
        <w:tc>
          <w:tcPr>
            <w:tcW w:w="792" w:type="dxa"/>
            <w:vAlign w:val="center"/>
          </w:tcPr>
          <w:p>
            <w:pPr>
              <w:spacing w:line="280" w:lineRule="exact"/>
              <w:jc w:val="center"/>
              <w:rPr>
                <w:rFonts w:ascii="仿宋" w:hAnsi="仿宋" w:eastAsia="仿宋" w:cs="宋体"/>
                <w:b/>
                <w:kern w:val="2"/>
                <w:sz w:val="24"/>
              </w:rPr>
            </w:pPr>
            <w:r>
              <w:rPr>
                <w:rFonts w:hint="eastAsia" w:ascii="仿宋" w:hAnsi="仿宋" w:eastAsia="仿宋" w:cs="宋体"/>
                <w:b/>
                <w:kern w:val="2"/>
                <w:sz w:val="24"/>
              </w:rPr>
              <w:t>评分因素权重</w:t>
            </w:r>
          </w:p>
        </w:tc>
        <w:tc>
          <w:tcPr>
            <w:tcW w:w="1199" w:type="dxa"/>
            <w:vAlign w:val="center"/>
          </w:tcPr>
          <w:p>
            <w:pPr>
              <w:spacing w:line="280" w:lineRule="exact"/>
              <w:jc w:val="center"/>
              <w:rPr>
                <w:rFonts w:ascii="仿宋" w:hAnsi="仿宋" w:eastAsia="仿宋" w:cs="宋体"/>
                <w:b/>
                <w:kern w:val="2"/>
                <w:sz w:val="24"/>
              </w:rPr>
            </w:pPr>
            <w:r>
              <w:rPr>
                <w:rFonts w:hint="eastAsia" w:ascii="仿宋" w:hAnsi="仿宋" w:eastAsia="仿宋" w:cs="宋体"/>
                <w:b/>
                <w:kern w:val="2"/>
                <w:sz w:val="24"/>
              </w:rPr>
              <w:t>内容</w:t>
            </w:r>
          </w:p>
        </w:tc>
        <w:tc>
          <w:tcPr>
            <w:tcW w:w="5980" w:type="dxa"/>
            <w:vAlign w:val="center"/>
          </w:tcPr>
          <w:p>
            <w:pPr>
              <w:spacing w:line="280" w:lineRule="exact"/>
              <w:jc w:val="center"/>
              <w:rPr>
                <w:rFonts w:ascii="仿宋" w:hAnsi="仿宋" w:eastAsia="仿宋" w:cs="宋体"/>
                <w:b/>
                <w:kern w:val="2"/>
                <w:sz w:val="24"/>
              </w:rPr>
            </w:pPr>
            <w:r>
              <w:rPr>
                <w:rFonts w:hint="eastAsia" w:ascii="仿宋" w:hAnsi="仿宋" w:eastAsia="仿宋" w:cs="宋体"/>
                <w:b/>
                <w:kern w:val="2"/>
                <w:sz w:val="24"/>
              </w:rPr>
              <w:t>评分标准</w:t>
            </w:r>
          </w:p>
        </w:tc>
        <w:tc>
          <w:tcPr>
            <w:tcW w:w="1199" w:type="dxa"/>
            <w:vAlign w:val="center"/>
          </w:tcPr>
          <w:p>
            <w:pPr>
              <w:spacing w:line="280" w:lineRule="exact"/>
              <w:jc w:val="center"/>
              <w:rPr>
                <w:rFonts w:ascii="仿宋" w:hAnsi="仿宋" w:eastAsia="仿宋" w:cs="宋体"/>
                <w:b/>
                <w:kern w:val="2"/>
                <w:sz w:val="24"/>
              </w:rPr>
            </w:pPr>
            <w:r>
              <w:rPr>
                <w:rFonts w:hint="eastAsia" w:ascii="仿宋" w:hAnsi="仿宋" w:eastAsia="仿宋" w:cs="宋体"/>
                <w:b/>
                <w:kern w:val="2"/>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spacing w:line="280" w:lineRule="exact"/>
              <w:jc w:val="center"/>
              <w:rPr>
                <w:rFonts w:ascii="仿宋" w:hAnsi="仿宋" w:eastAsia="仿宋" w:cs="宋体"/>
                <w:kern w:val="2"/>
                <w:sz w:val="24"/>
              </w:rPr>
            </w:pPr>
            <w:r>
              <w:rPr>
                <w:rFonts w:hint="eastAsia" w:ascii="仿宋" w:hAnsi="仿宋" w:eastAsia="仿宋" w:cs="宋体"/>
                <w:kern w:val="2"/>
                <w:sz w:val="24"/>
              </w:rPr>
              <w:t>1</w:t>
            </w:r>
          </w:p>
        </w:tc>
        <w:tc>
          <w:tcPr>
            <w:tcW w:w="792" w:type="dxa"/>
            <w:vAlign w:val="center"/>
          </w:tcPr>
          <w:p>
            <w:pPr>
              <w:spacing w:line="280" w:lineRule="exact"/>
              <w:jc w:val="center"/>
              <w:rPr>
                <w:rFonts w:ascii="仿宋" w:hAnsi="仿宋" w:eastAsia="仿宋" w:cs="宋体"/>
                <w:kern w:val="2"/>
                <w:sz w:val="24"/>
              </w:rPr>
            </w:pPr>
            <w:r>
              <w:rPr>
                <w:rFonts w:hint="eastAsia" w:ascii="仿宋" w:hAnsi="仿宋" w:eastAsia="仿宋" w:cs="宋体"/>
                <w:kern w:val="2"/>
                <w:sz w:val="24"/>
              </w:rPr>
              <w:t>报价20%</w:t>
            </w:r>
          </w:p>
        </w:tc>
        <w:tc>
          <w:tcPr>
            <w:tcW w:w="1199" w:type="dxa"/>
            <w:vAlign w:val="center"/>
          </w:tcPr>
          <w:p>
            <w:pPr>
              <w:spacing w:line="280" w:lineRule="exact"/>
              <w:jc w:val="center"/>
              <w:rPr>
                <w:rFonts w:ascii="仿宋" w:hAnsi="仿宋" w:eastAsia="仿宋" w:cs="宋体"/>
                <w:kern w:val="2"/>
                <w:sz w:val="24"/>
              </w:rPr>
            </w:pPr>
            <w:r>
              <w:rPr>
                <w:rFonts w:hint="eastAsia" w:ascii="仿宋" w:hAnsi="仿宋" w:eastAsia="仿宋" w:cs="宋体"/>
                <w:kern w:val="2"/>
                <w:sz w:val="24"/>
              </w:rPr>
              <w:t>报价</w:t>
            </w:r>
          </w:p>
        </w:tc>
        <w:tc>
          <w:tcPr>
            <w:tcW w:w="5980" w:type="dxa"/>
            <w:vAlign w:val="center"/>
          </w:tcPr>
          <w:p>
            <w:pPr>
              <w:spacing w:after="0" w:line="400" w:lineRule="exact"/>
              <w:ind w:firstLine="480" w:firstLineChars="200"/>
              <w:rPr>
                <w:rFonts w:ascii="仿宋" w:hAnsi="仿宋" w:eastAsia="仿宋" w:cs="宋体"/>
                <w:kern w:val="2"/>
                <w:sz w:val="24"/>
              </w:rPr>
            </w:pPr>
            <w:r>
              <w:rPr>
                <w:rFonts w:hint="eastAsia" w:ascii="仿宋" w:hAnsi="仿宋" w:eastAsia="仿宋" w:cs="宋体"/>
                <w:kern w:val="2"/>
                <w:sz w:val="24"/>
              </w:rPr>
              <w:t>所有有效比选申请人的有效比选报价的算数平均值为评审基准价。</w:t>
            </w:r>
          </w:p>
          <w:p>
            <w:pPr>
              <w:spacing w:after="0" w:line="400" w:lineRule="exact"/>
              <w:ind w:firstLine="480" w:firstLineChars="200"/>
              <w:rPr>
                <w:rFonts w:ascii="仿宋" w:hAnsi="仿宋" w:eastAsia="仿宋" w:cs="宋体"/>
                <w:kern w:val="2"/>
                <w:sz w:val="24"/>
              </w:rPr>
            </w:pPr>
            <w:r>
              <w:rPr>
                <w:rFonts w:hint="eastAsia" w:ascii="仿宋" w:hAnsi="仿宋" w:eastAsia="仿宋" w:cs="宋体"/>
                <w:kern w:val="2"/>
                <w:sz w:val="24"/>
              </w:rPr>
              <w:t>比选申请人的报价为基准价的，得20分。</w:t>
            </w:r>
          </w:p>
          <w:p>
            <w:pPr>
              <w:spacing w:after="0" w:line="400" w:lineRule="exact"/>
              <w:ind w:firstLine="480" w:firstLineChars="200"/>
              <w:rPr>
                <w:rFonts w:ascii="仿宋" w:hAnsi="仿宋" w:eastAsia="仿宋" w:cs="宋体"/>
                <w:kern w:val="2"/>
                <w:sz w:val="24"/>
              </w:rPr>
            </w:pPr>
            <w:r>
              <w:rPr>
                <w:rFonts w:hint="eastAsia" w:ascii="仿宋" w:hAnsi="仿宋" w:eastAsia="仿宋" w:cs="宋体"/>
                <w:kern w:val="2"/>
                <w:sz w:val="24"/>
              </w:rPr>
              <w:t>比选申请人的报价高于/低于基准价的，每高1%扣0.2分，每低1%扣0.1分，扣完为止。中间值用插入法进行计算，小数点后保留两位。</w:t>
            </w:r>
          </w:p>
        </w:tc>
        <w:tc>
          <w:tcPr>
            <w:tcW w:w="1199" w:type="dxa"/>
            <w:vAlign w:val="center"/>
          </w:tcPr>
          <w:p>
            <w:pPr>
              <w:spacing w:line="280" w:lineRule="exact"/>
              <w:jc w:val="center"/>
              <w:rPr>
                <w:rFonts w:ascii="仿宋" w:hAnsi="仿宋" w:eastAsia="仿宋" w:cs="宋体"/>
                <w:kern w:val="2"/>
                <w:sz w:val="24"/>
              </w:rPr>
            </w:pPr>
            <w:r>
              <w:rPr>
                <w:rFonts w:hint="eastAsia" w:ascii="仿宋" w:hAnsi="仿宋" w:eastAsia="仿宋" w:cs="宋体"/>
                <w:kern w:val="2"/>
                <w:sz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617" w:type="dxa"/>
            <w:vMerge w:val="restart"/>
            <w:vAlign w:val="center"/>
          </w:tcPr>
          <w:p>
            <w:pPr>
              <w:spacing w:line="280" w:lineRule="exact"/>
              <w:jc w:val="center"/>
              <w:rPr>
                <w:rFonts w:ascii="仿宋" w:hAnsi="仿宋" w:eastAsia="仿宋" w:cs="宋体"/>
                <w:kern w:val="2"/>
                <w:sz w:val="24"/>
              </w:rPr>
            </w:pPr>
          </w:p>
        </w:tc>
        <w:tc>
          <w:tcPr>
            <w:tcW w:w="792" w:type="dxa"/>
            <w:vMerge w:val="restart"/>
            <w:vAlign w:val="center"/>
          </w:tcPr>
          <w:p>
            <w:pPr>
              <w:spacing w:line="280" w:lineRule="exact"/>
              <w:jc w:val="center"/>
              <w:rPr>
                <w:rFonts w:ascii="仿宋" w:hAnsi="仿宋" w:eastAsia="仿宋" w:cs="宋体"/>
                <w:kern w:val="2"/>
                <w:sz w:val="24"/>
              </w:rPr>
            </w:pPr>
            <w:r>
              <w:rPr>
                <w:rFonts w:hint="eastAsia" w:ascii="仿宋" w:hAnsi="仿宋" w:eastAsia="仿宋" w:cs="宋体"/>
                <w:kern w:val="2"/>
                <w:sz w:val="24"/>
              </w:rPr>
              <w:t>履约能力</w:t>
            </w:r>
            <w:r>
              <w:rPr>
                <w:rFonts w:ascii="仿宋" w:hAnsi="仿宋" w:eastAsia="仿宋" w:cs="宋体"/>
                <w:kern w:val="2"/>
                <w:sz w:val="24"/>
              </w:rPr>
              <w:t>4</w:t>
            </w:r>
            <w:r>
              <w:rPr>
                <w:rFonts w:hint="eastAsia" w:ascii="仿宋" w:hAnsi="仿宋" w:eastAsia="仿宋" w:cs="宋体"/>
                <w:kern w:val="2"/>
                <w:sz w:val="24"/>
              </w:rPr>
              <w:t>0%</w:t>
            </w:r>
          </w:p>
        </w:tc>
        <w:tc>
          <w:tcPr>
            <w:tcW w:w="1199" w:type="dxa"/>
            <w:vAlign w:val="center"/>
          </w:tcPr>
          <w:p>
            <w:pPr>
              <w:spacing w:line="280" w:lineRule="exact"/>
              <w:jc w:val="center"/>
              <w:rPr>
                <w:rFonts w:ascii="仿宋" w:hAnsi="仿宋" w:eastAsia="仿宋" w:cs="宋体"/>
                <w:kern w:val="2"/>
                <w:sz w:val="24"/>
              </w:rPr>
            </w:pPr>
            <w:r>
              <w:rPr>
                <w:rFonts w:hint="eastAsia" w:ascii="仿宋" w:hAnsi="仿宋" w:eastAsia="仿宋" w:cs="宋体"/>
                <w:kern w:val="2"/>
                <w:sz w:val="24"/>
              </w:rPr>
              <w:t>团队税务师执业经验</w:t>
            </w:r>
          </w:p>
        </w:tc>
        <w:tc>
          <w:tcPr>
            <w:tcW w:w="5980" w:type="dxa"/>
            <w:vAlign w:val="center"/>
          </w:tcPr>
          <w:p>
            <w:pPr>
              <w:spacing w:after="0" w:line="400" w:lineRule="exact"/>
              <w:ind w:firstLine="480" w:firstLineChars="200"/>
              <w:rPr>
                <w:rFonts w:ascii="仿宋" w:hAnsi="仿宋" w:eastAsia="仿宋" w:cs="宋体"/>
                <w:kern w:val="2"/>
                <w:sz w:val="24"/>
                <w:highlight w:val="none"/>
              </w:rPr>
            </w:pPr>
            <w:r>
              <w:rPr>
                <w:rFonts w:hint="eastAsia" w:ascii="仿宋" w:hAnsi="仿宋" w:eastAsia="仿宋" w:cs="宋体"/>
                <w:kern w:val="2"/>
                <w:sz w:val="24"/>
                <w:highlight w:val="none"/>
              </w:rPr>
              <w:t>1、项目负责人：①具有有效的高级会计师证得6分；②具有5（含5年）-</w:t>
            </w:r>
            <w:r>
              <w:rPr>
                <w:rFonts w:hint="eastAsia" w:ascii="仿宋" w:hAnsi="仿宋" w:eastAsia="仿宋" w:cs="宋体"/>
                <w:kern w:val="2"/>
                <w:sz w:val="24"/>
                <w:highlight w:val="none"/>
                <w:lang w:val="en-US" w:eastAsia="zh-CN"/>
              </w:rPr>
              <w:t>10</w:t>
            </w:r>
            <w:r>
              <w:rPr>
                <w:rFonts w:hint="eastAsia" w:ascii="仿宋" w:hAnsi="仿宋" w:eastAsia="仿宋" w:cs="宋体"/>
                <w:kern w:val="2"/>
                <w:sz w:val="24"/>
                <w:highlight w:val="none"/>
              </w:rPr>
              <w:t>年（不含</w:t>
            </w:r>
            <w:r>
              <w:rPr>
                <w:rFonts w:hint="eastAsia" w:ascii="仿宋" w:hAnsi="仿宋" w:eastAsia="仿宋" w:cs="宋体"/>
                <w:kern w:val="2"/>
                <w:sz w:val="24"/>
                <w:highlight w:val="none"/>
                <w:lang w:val="en-US" w:eastAsia="zh-CN"/>
              </w:rPr>
              <w:t>10</w:t>
            </w:r>
            <w:r>
              <w:rPr>
                <w:rFonts w:hint="eastAsia" w:ascii="仿宋" w:hAnsi="仿宋" w:eastAsia="仿宋" w:cs="宋体"/>
                <w:kern w:val="2"/>
                <w:sz w:val="24"/>
                <w:highlight w:val="none"/>
              </w:rPr>
              <w:t>年）税务工作经验的得</w:t>
            </w:r>
            <w:r>
              <w:rPr>
                <w:rFonts w:hint="eastAsia" w:ascii="仿宋" w:hAnsi="仿宋" w:eastAsia="仿宋" w:cs="宋体"/>
                <w:kern w:val="2"/>
                <w:sz w:val="24"/>
                <w:highlight w:val="none"/>
                <w:lang w:val="en-US" w:eastAsia="zh-CN"/>
              </w:rPr>
              <w:t>6</w:t>
            </w:r>
            <w:r>
              <w:rPr>
                <w:rFonts w:hint="eastAsia" w:ascii="仿宋" w:hAnsi="仿宋" w:eastAsia="仿宋" w:cs="宋体"/>
                <w:kern w:val="2"/>
                <w:sz w:val="24"/>
                <w:highlight w:val="none"/>
              </w:rPr>
              <w:t>分，具有</w:t>
            </w:r>
            <w:r>
              <w:rPr>
                <w:rFonts w:hint="eastAsia" w:ascii="仿宋" w:hAnsi="仿宋" w:eastAsia="仿宋" w:cs="宋体"/>
                <w:kern w:val="2"/>
                <w:sz w:val="24"/>
                <w:highlight w:val="none"/>
                <w:lang w:val="en-US" w:eastAsia="zh-CN"/>
              </w:rPr>
              <w:t>10</w:t>
            </w:r>
            <w:r>
              <w:rPr>
                <w:rFonts w:hint="eastAsia" w:ascii="仿宋" w:hAnsi="仿宋" w:eastAsia="仿宋" w:cs="宋体"/>
                <w:kern w:val="2"/>
                <w:sz w:val="24"/>
                <w:highlight w:val="none"/>
              </w:rPr>
              <w:t>年及以上税务工作经验的</w:t>
            </w:r>
            <w:r>
              <w:rPr>
                <w:rFonts w:hint="eastAsia" w:ascii="仿宋" w:hAnsi="仿宋" w:eastAsia="仿宋" w:cs="宋体"/>
                <w:kern w:val="2"/>
                <w:sz w:val="24"/>
                <w:highlight w:val="none"/>
                <w:lang w:val="en-US" w:eastAsia="zh-CN"/>
              </w:rPr>
              <w:t>加2</w:t>
            </w:r>
            <w:r>
              <w:rPr>
                <w:rFonts w:hint="eastAsia" w:ascii="仿宋" w:hAnsi="仿宋" w:eastAsia="仿宋" w:cs="宋体"/>
                <w:kern w:val="2"/>
                <w:sz w:val="24"/>
                <w:highlight w:val="none"/>
              </w:rPr>
              <w:t>分。（税务工作经验年限以注册税务师资格证书上的签发日期起算），本项最多得14分；</w:t>
            </w:r>
          </w:p>
          <w:p>
            <w:pPr>
              <w:spacing w:after="0" w:line="400" w:lineRule="exact"/>
              <w:ind w:firstLine="480" w:firstLineChars="200"/>
              <w:rPr>
                <w:rFonts w:ascii="仿宋" w:hAnsi="仿宋" w:eastAsia="仿宋" w:cs="宋体"/>
                <w:kern w:val="2"/>
                <w:sz w:val="24"/>
              </w:rPr>
            </w:pPr>
            <w:r>
              <w:rPr>
                <w:rFonts w:hint="eastAsia" w:ascii="仿宋" w:hAnsi="仿宋" w:eastAsia="仿宋" w:cs="宋体"/>
                <w:kern w:val="2"/>
                <w:sz w:val="24"/>
                <w:highlight w:val="none"/>
              </w:rPr>
              <w:t>2、项目其他人员：拟派本项目服务团队人员（不含项目负责人）在3人</w:t>
            </w:r>
            <w:r>
              <w:rPr>
                <w:rFonts w:hint="eastAsia" w:ascii="仿宋" w:hAnsi="仿宋" w:eastAsia="仿宋" w:cs="宋体"/>
                <w:kern w:val="2"/>
                <w:sz w:val="24"/>
                <w:highlight w:val="none"/>
                <w:lang w:val="en-US" w:eastAsia="zh-CN"/>
              </w:rPr>
              <w:t>及以下</w:t>
            </w:r>
            <w:r>
              <w:rPr>
                <w:rFonts w:hint="eastAsia" w:ascii="仿宋" w:hAnsi="仿宋" w:eastAsia="仿宋" w:cs="宋体"/>
                <w:kern w:val="2"/>
                <w:sz w:val="24"/>
                <w:highlight w:val="none"/>
              </w:rPr>
              <w:t>得</w:t>
            </w:r>
            <w:r>
              <w:rPr>
                <w:rFonts w:hint="eastAsia" w:ascii="仿宋" w:hAnsi="仿宋" w:eastAsia="仿宋" w:cs="宋体"/>
                <w:kern w:val="2"/>
                <w:sz w:val="24"/>
                <w:highlight w:val="none"/>
                <w:lang w:val="en-US" w:eastAsia="zh-CN"/>
              </w:rPr>
              <w:t>4</w:t>
            </w:r>
            <w:r>
              <w:rPr>
                <w:rFonts w:hint="eastAsia" w:ascii="仿宋" w:hAnsi="仿宋" w:eastAsia="仿宋" w:cs="宋体"/>
                <w:kern w:val="2"/>
                <w:sz w:val="24"/>
                <w:highlight w:val="none"/>
              </w:rPr>
              <w:t>分，在3人及以上的</w:t>
            </w:r>
            <w:r>
              <w:rPr>
                <w:rFonts w:hint="eastAsia" w:ascii="仿宋" w:hAnsi="仿宋" w:eastAsia="仿宋" w:cs="宋体"/>
                <w:kern w:val="2"/>
                <w:sz w:val="24"/>
                <w:highlight w:val="none"/>
                <w:lang w:val="en-US" w:eastAsia="zh-CN"/>
              </w:rPr>
              <w:t>每多一人加1分</w:t>
            </w:r>
            <w:r>
              <w:rPr>
                <w:rFonts w:hint="eastAsia" w:ascii="仿宋" w:hAnsi="仿宋" w:eastAsia="仿宋" w:cs="宋体"/>
                <w:kern w:val="2"/>
                <w:sz w:val="24"/>
                <w:highlight w:val="none"/>
              </w:rPr>
              <w:t>，本项最多得6分。</w:t>
            </w:r>
          </w:p>
        </w:tc>
        <w:tc>
          <w:tcPr>
            <w:tcW w:w="1199" w:type="dxa"/>
            <w:vAlign w:val="center"/>
          </w:tcPr>
          <w:p>
            <w:pPr>
              <w:spacing w:line="280" w:lineRule="exact"/>
              <w:jc w:val="center"/>
              <w:rPr>
                <w:rFonts w:ascii="仿宋" w:hAnsi="仿宋" w:eastAsia="仿宋" w:cs="宋体"/>
                <w:kern w:val="2"/>
                <w:sz w:val="24"/>
              </w:rPr>
            </w:pPr>
            <w:r>
              <w:rPr>
                <w:rFonts w:hint="eastAsia" w:ascii="仿宋" w:hAnsi="仿宋" w:eastAsia="仿宋" w:cs="宋体"/>
                <w:kern w:val="2"/>
                <w:sz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617" w:type="dxa"/>
            <w:vMerge w:val="continue"/>
            <w:vAlign w:val="center"/>
          </w:tcPr>
          <w:p>
            <w:pPr>
              <w:spacing w:line="280" w:lineRule="exact"/>
              <w:jc w:val="center"/>
              <w:rPr>
                <w:rFonts w:ascii="仿宋" w:hAnsi="仿宋" w:eastAsia="仿宋" w:cs="宋体"/>
                <w:kern w:val="2"/>
                <w:sz w:val="24"/>
              </w:rPr>
            </w:pPr>
          </w:p>
        </w:tc>
        <w:tc>
          <w:tcPr>
            <w:tcW w:w="792" w:type="dxa"/>
            <w:vMerge w:val="continue"/>
            <w:vAlign w:val="center"/>
          </w:tcPr>
          <w:p>
            <w:pPr>
              <w:spacing w:line="280" w:lineRule="exact"/>
              <w:jc w:val="center"/>
              <w:rPr>
                <w:rFonts w:ascii="仿宋" w:hAnsi="仿宋" w:eastAsia="仿宋" w:cs="宋体"/>
                <w:kern w:val="2"/>
                <w:sz w:val="24"/>
              </w:rPr>
            </w:pPr>
          </w:p>
        </w:tc>
        <w:tc>
          <w:tcPr>
            <w:tcW w:w="1199" w:type="dxa"/>
            <w:vAlign w:val="center"/>
          </w:tcPr>
          <w:p>
            <w:pPr>
              <w:spacing w:line="280" w:lineRule="exact"/>
              <w:rPr>
                <w:rFonts w:ascii="仿宋" w:hAnsi="仿宋" w:eastAsia="仿宋" w:cs="宋体"/>
                <w:kern w:val="2"/>
                <w:sz w:val="24"/>
              </w:rPr>
            </w:pPr>
            <w:r>
              <w:rPr>
                <w:rFonts w:hint="eastAsia" w:ascii="仿宋" w:hAnsi="仿宋" w:eastAsia="仿宋" w:cs="宋体"/>
                <w:kern w:val="2"/>
                <w:sz w:val="24"/>
              </w:rPr>
              <w:t>团队常年税务顾问业绩</w:t>
            </w:r>
          </w:p>
        </w:tc>
        <w:tc>
          <w:tcPr>
            <w:tcW w:w="5980" w:type="dxa"/>
            <w:vAlign w:val="center"/>
          </w:tcPr>
          <w:p>
            <w:pPr>
              <w:spacing w:after="0" w:line="400" w:lineRule="exact"/>
              <w:ind w:firstLine="480" w:firstLineChars="200"/>
              <w:rPr>
                <w:rFonts w:ascii="仿宋" w:hAnsi="仿宋" w:eastAsia="仿宋" w:cs="宋体"/>
                <w:kern w:val="2"/>
                <w:sz w:val="24"/>
              </w:rPr>
            </w:pPr>
            <w:r>
              <w:rPr>
                <w:rFonts w:hint="eastAsia" w:ascii="仿宋" w:hAnsi="仿宋" w:eastAsia="仿宋" w:cs="宋体"/>
                <w:kern w:val="2"/>
                <w:sz w:val="24"/>
              </w:rPr>
              <w:t>满足资格要求得8分，在此基础上，20</w:t>
            </w:r>
            <w:r>
              <w:rPr>
                <w:rFonts w:hint="eastAsia" w:ascii="仿宋" w:hAnsi="仿宋" w:eastAsia="仿宋" w:cs="宋体"/>
                <w:kern w:val="2"/>
                <w:sz w:val="24"/>
                <w:lang w:val="en-US" w:eastAsia="zh-CN"/>
              </w:rPr>
              <w:t>20</w:t>
            </w:r>
            <w:r>
              <w:rPr>
                <w:rFonts w:hint="eastAsia" w:ascii="仿宋" w:hAnsi="仿宋" w:eastAsia="仿宋" w:cs="宋体"/>
                <w:kern w:val="2"/>
                <w:sz w:val="24"/>
              </w:rPr>
              <w:t>年1月1日至今每增加1个市级及以上国有企业或上市公司的税务咨询项目加6分，本项最多得20分（业绩不重复得分）。</w:t>
            </w:r>
          </w:p>
          <w:p>
            <w:pPr>
              <w:spacing w:after="0" w:line="400" w:lineRule="exact"/>
              <w:ind w:firstLine="480" w:firstLineChars="200"/>
              <w:rPr>
                <w:rFonts w:ascii="仿宋" w:hAnsi="仿宋" w:eastAsia="仿宋" w:cs="宋体"/>
                <w:kern w:val="2"/>
                <w:sz w:val="24"/>
              </w:rPr>
            </w:pPr>
            <w:r>
              <w:rPr>
                <w:rFonts w:hint="eastAsia" w:ascii="仿宋" w:hAnsi="仿宋" w:eastAsia="仿宋" w:cs="宋体"/>
                <w:kern w:val="2"/>
                <w:sz w:val="24"/>
              </w:rPr>
              <w:t>注：上述同一业绩不重复得分，同一服务对象不同年度业绩可视为不同业绩单独得分。提供合同复印件</w:t>
            </w:r>
          </w:p>
        </w:tc>
        <w:tc>
          <w:tcPr>
            <w:tcW w:w="1199" w:type="dxa"/>
            <w:vAlign w:val="center"/>
          </w:tcPr>
          <w:p>
            <w:pPr>
              <w:spacing w:line="280" w:lineRule="exact"/>
              <w:jc w:val="center"/>
              <w:rPr>
                <w:rFonts w:ascii="仿宋" w:hAnsi="仿宋" w:eastAsia="仿宋" w:cs="宋体"/>
                <w:kern w:val="2"/>
                <w:sz w:val="24"/>
              </w:rPr>
            </w:pPr>
            <w:r>
              <w:rPr>
                <w:rFonts w:hint="eastAsia" w:ascii="仿宋" w:hAnsi="仿宋" w:eastAsia="仿宋" w:cs="宋体"/>
                <w:kern w:val="2"/>
                <w:sz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617" w:type="dxa"/>
            <w:vMerge w:val="restart"/>
            <w:vAlign w:val="center"/>
          </w:tcPr>
          <w:p>
            <w:pPr>
              <w:spacing w:line="280" w:lineRule="exact"/>
              <w:jc w:val="center"/>
              <w:rPr>
                <w:rFonts w:ascii="仿宋" w:hAnsi="仿宋" w:eastAsia="仿宋" w:cs="宋体"/>
                <w:kern w:val="2"/>
                <w:sz w:val="24"/>
              </w:rPr>
            </w:pPr>
            <w:r>
              <w:rPr>
                <w:rFonts w:hint="eastAsia" w:ascii="仿宋" w:hAnsi="仿宋" w:eastAsia="仿宋" w:cs="宋体"/>
                <w:kern w:val="2"/>
                <w:sz w:val="24"/>
              </w:rPr>
              <w:t>3</w:t>
            </w:r>
          </w:p>
        </w:tc>
        <w:tc>
          <w:tcPr>
            <w:tcW w:w="792" w:type="dxa"/>
            <w:vMerge w:val="restart"/>
            <w:vAlign w:val="center"/>
          </w:tcPr>
          <w:p>
            <w:pPr>
              <w:spacing w:after="0" w:line="360" w:lineRule="exact"/>
              <w:jc w:val="center"/>
              <w:rPr>
                <w:rFonts w:ascii="仿宋" w:hAnsi="仿宋" w:eastAsia="仿宋" w:cs="宋体"/>
                <w:kern w:val="2"/>
                <w:sz w:val="24"/>
              </w:rPr>
            </w:pPr>
            <w:r>
              <w:rPr>
                <w:rFonts w:hint="eastAsia" w:ascii="仿宋" w:hAnsi="仿宋" w:eastAsia="仿宋" w:cs="宋体"/>
                <w:kern w:val="2"/>
                <w:sz w:val="24"/>
              </w:rPr>
              <w:t>服务</w:t>
            </w:r>
          </w:p>
          <w:p>
            <w:pPr>
              <w:spacing w:after="0" w:line="360" w:lineRule="exact"/>
              <w:jc w:val="center"/>
              <w:rPr>
                <w:rFonts w:ascii="仿宋" w:hAnsi="仿宋" w:eastAsia="仿宋" w:cs="宋体"/>
                <w:kern w:val="2"/>
                <w:sz w:val="24"/>
              </w:rPr>
            </w:pPr>
            <w:r>
              <w:rPr>
                <w:rFonts w:hint="eastAsia" w:ascii="仿宋" w:hAnsi="仿宋" w:eastAsia="仿宋" w:cs="宋体"/>
                <w:kern w:val="2"/>
                <w:sz w:val="24"/>
              </w:rPr>
              <w:t>方案</w:t>
            </w:r>
          </w:p>
          <w:p>
            <w:pPr>
              <w:spacing w:after="0" w:line="360" w:lineRule="exact"/>
              <w:jc w:val="center"/>
              <w:rPr>
                <w:rFonts w:ascii="仿宋" w:hAnsi="仿宋" w:eastAsia="仿宋" w:cs="宋体"/>
                <w:kern w:val="2"/>
                <w:sz w:val="24"/>
              </w:rPr>
            </w:pPr>
            <w:r>
              <w:rPr>
                <w:rFonts w:ascii="仿宋" w:hAnsi="仿宋" w:eastAsia="仿宋" w:cs="宋体"/>
                <w:kern w:val="2"/>
                <w:sz w:val="24"/>
              </w:rPr>
              <w:t>4</w:t>
            </w:r>
            <w:r>
              <w:rPr>
                <w:rFonts w:hint="eastAsia" w:ascii="仿宋" w:hAnsi="仿宋" w:eastAsia="仿宋" w:cs="宋体"/>
                <w:kern w:val="2"/>
                <w:sz w:val="24"/>
              </w:rPr>
              <w:t>0%</w:t>
            </w:r>
          </w:p>
        </w:tc>
        <w:tc>
          <w:tcPr>
            <w:tcW w:w="1199" w:type="dxa"/>
            <w:vAlign w:val="center"/>
          </w:tcPr>
          <w:p>
            <w:pPr>
              <w:spacing w:line="280" w:lineRule="exact"/>
              <w:jc w:val="center"/>
              <w:rPr>
                <w:rFonts w:ascii="仿宋" w:hAnsi="仿宋" w:eastAsia="仿宋" w:cs="宋体"/>
                <w:kern w:val="2"/>
                <w:sz w:val="24"/>
              </w:rPr>
            </w:pPr>
            <w:r>
              <w:rPr>
                <w:rFonts w:hint="eastAsia" w:ascii="仿宋" w:hAnsi="仿宋" w:eastAsia="仿宋" w:cs="宋体"/>
                <w:kern w:val="2"/>
                <w:sz w:val="24"/>
              </w:rPr>
              <w:t>税务顾问服务方案</w:t>
            </w:r>
          </w:p>
        </w:tc>
        <w:tc>
          <w:tcPr>
            <w:tcW w:w="5980" w:type="dxa"/>
            <w:vAlign w:val="center"/>
          </w:tcPr>
          <w:p>
            <w:pPr>
              <w:spacing w:after="0" w:line="400" w:lineRule="exact"/>
              <w:ind w:firstLine="480" w:firstLineChars="200"/>
              <w:rPr>
                <w:rFonts w:ascii="仿宋" w:hAnsi="仿宋" w:eastAsia="仿宋" w:cs="宋体"/>
                <w:kern w:val="2"/>
                <w:sz w:val="24"/>
              </w:rPr>
            </w:pPr>
            <w:r>
              <w:rPr>
                <w:rFonts w:hint="eastAsia" w:ascii="仿宋" w:hAnsi="仿宋" w:eastAsia="仿宋" w:cs="宋体"/>
                <w:kern w:val="2"/>
                <w:sz w:val="24"/>
              </w:rPr>
              <w:t>事务所对本项目税务顾问服务的工作思路、工作重难点、工作方法及保密措施等进行阐述。评标委员会对方案的合理性、完整性、可操作性进行综合评审。优得</w:t>
            </w:r>
            <w:r>
              <w:rPr>
                <w:rFonts w:ascii="仿宋" w:hAnsi="仿宋" w:eastAsia="仿宋" w:cs="宋体"/>
                <w:kern w:val="2"/>
                <w:sz w:val="24"/>
              </w:rPr>
              <w:t>3</w:t>
            </w:r>
            <w:r>
              <w:rPr>
                <w:rFonts w:hint="eastAsia" w:ascii="仿宋" w:hAnsi="仿宋" w:eastAsia="仿宋" w:cs="宋体"/>
                <w:kern w:val="2"/>
                <w:sz w:val="24"/>
              </w:rPr>
              <w:t>0～</w:t>
            </w:r>
            <w:r>
              <w:rPr>
                <w:rFonts w:ascii="仿宋" w:hAnsi="仿宋" w:eastAsia="仿宋" w:cs="宋体"/>
                <w:kern w:val="2"/>
                <w:sz w:val="24"/>
              </w:rPr>
              <w:t>20</w:t>
            </w:r>
            <w:r>
              <w:rPr>
                <w:rFonts w:hint="eastAsia" w:ascii="仿宋" w:hAnsi="仿宋" w:eastAsia="仿宋" w:cs="宋体"/>
                <w:kern w:val="2"/>
                <w:sz w:val="24"/>
              </w:rPr>
              <w:t>分，良得</w:t>
            </w:r>
            <w:r>
              <w:rPr>
                <w:rFonts w:ascii="仿宋" w:hAnsi="仿宋" w:eastAsia="仿宋" w:cs="宋体"/>
                <w:kern w:val="2"/>
                <w:sz w:val="24"/>
              </w:rPr>
              <w:t>20</w:t>
            </w:r>
            <w:r>
              <w:rPr>
                <w:rFonts w:hint="eastAsia" w:ascii="仿宋" w:hAnsi="仿宋" w:eastAsia="仿宋" w:cs="宋体"/>
                <w:kern w:val="2"/>
                <w:sz w:val="24"/>
              </w:rPr>
              <w:t>～10分，一般得9～1分，无得0分。</w:t>
            </w:r>
          </w:p>
        </w:tc>
        <w:tc>
          <w:tcPr>
            <w:tcW w:w="1199" w:type="dxa"/>
            <w:vAlign w:val="center"/>
          </w:tcPr>
          <w:p>
            <w:pPr>
              <w:spacing w:line="280" w:lineRule="exact"/>
              <w:jc w:val="center"/>
              <w:rPr>
                <w:rFonts w:ascii="仿宋" w:hAnsi="仿宋" w:eastAsia="仿宋" w:cs="宋体"/>
                <w:kern w:val="2"/>
                <w:sz w:val="24"/>
              </w:rPr>
            </w:pPr>
            <w:r>
              <w:rPr>
                <w:rFonts w:ascii="仿宋" w:hAnsi="仿宋" w:eastAsia="仿宋" w:cs="宋体"/>
                <w:kern w:val="2"/>
                <w:sz w:val="24"/>
              </w:rPr>
              <w:t>3</w:t>
            </w:r>
            <w:r>
              <w:rPr>
                <w:rFonts w:hint="eastAsia" w:ascii="仿宋" w:hAnsi="仿宋" w:eastAsia="仿宋" w:cs="宋体"/>
                <w:kern w:val="2"/>
                <w:sz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617" w:type="dxa"/>
            <w:vMerge w:val="continue"/>
            <w:vAlign w:val="center"/>
          </w:tcPr>
          <w:p>
            <w:pPr>
              <w:spacing w:line="280" w:lineRule="exact"/>
              <w:jc w:val="center"/>
              <w:rPr>
                <w:rFonts w:ascii="仿宋" w:hAnsi="仿宋" w:eastAsia="仿宋" w:cs="宋体"/>
                <w:kern w:val="2"/>
                <w:sz w:val="24"/>
              </w:rPr>
            </w:pPr>
          </w:p>
        </w:tc>
        <w:tc>
          <w:tcPr>
            <w:tcW w:w="792" w:type="dxa"/>
            <w:vMerge w:val="continue"/>
            <w:vAlign w:val="center"/>
          </w:tcPr>
          <w:p>
            <w:pPr>
              <w:spacing w:line="280" w:lineRule="exact"/>
              <w:jc w:val="center"/>
              <w:rPr>
                <w:rFonts w:ascii="仿宋" w:hAnsi="仿宋" w:eastAsia="仿宋" w:cs="宋体"/>
                <w:kern w:val="2"/>
                <w:sz w:val="24"/>
              </w:rPr>
            </w:pPr>
          </w:p>
        </w:tc>
        <w:tc>
          <w:tcPr>
            <w:tcW w:w="1199" w:type="dxa"/>
            <w:vAlign w:val="center"/>
          </w:tcPr>
          <w:p>
            <w:pPr>
              <w:spacing w:line="280" w:lineRule="exact"/>
              <w:jc w:val="center"/>
              <w:rPr>
                <w:rFonts w:ascii="仿宋" w:hAnsi="仿宋" w:eastAsia="仿宋" w:cs="宋体"/>
                <w:kern w:val="2"/>
                <w:sz w:val="24"/>
              </w:rPr>
            </w:pPr>
            <w:r>
              <w:rPr>
                <w:rFonts w:hint="eastAsia" w:ascii="仿宋" w:hAnsi="仿宋" w:eastAsia="仿宋" w:cs="宋体"/>
                <w:kern w:val="2"/>
                <w:sz w:val="24"/>
              </w:rPr>
              <w:t>服务方案中的人员配备</w:t>
            </w:r>
          </w:p>
        </w:tc>
        <w:tc>
          <w:tcPr>
            <w:tcW w:w="5980" w:type="dxa"/>
            <w:vAlign w:val="center"/>
          </w:tcPr>
          <w:p>
            <w:pPr>
              <w:spacing w:after="0" w:line="400" w:lineRule="exact"/>
              <w:ind w:firstLine="480" w:firstLineChars="200"/>
              <w:rPr>
                <w:rFonts w:ascii="仿宋" w:hAnsi="仿宋" w:eastAsia="仿宋" w:cs="宋体"/>
                <w:kern w:val="2"/>
                <w:sz w:val="24"/>
              </w:rPr>
            </w:pPr>
            <w:r>
              <w:rPr>
                <w:rFonts w:hint="eastAsia" w:ascii="仿宋" w:hAnsi="仿宋" w:eastAsia="仿宋" w:cs="宋体"/>
                <w:kern w:val="2"/>
                <w:sz w:val="24"/>
              </w:rPr>
              <w:t>配备人数合理，人员结构科学，人员从业经验丰富，得10～</w:t>
            </w:r>
            <w:r>
              <w:rPr>
                <w:rFonts w:ascii="仿宋" w:hAnsi="仿宋" w:eastAsia="仿宋" w:cs="宋体"/>
                <w:kern w:val="2"/>
                <w:sz w:val="24"/>
              </w:rPr>
              <w:t>8</w:t>
            </w:r>
            <w:r>
              <w:rPr>
                <w:rFonts w:hint="eastAsia" w:ascii="仿宋" w:hAnsi="仿宋" w:eastAsia="仿宋" w:cs="宋体"/>
                <w:kern w:val="2"/>
                <w:sz w:val="24"/>
              </w:rPr>
              <w:t>分；配备人数较合理，人员结构较科学，人员从业经验较丰富，得</w:t>
            </w:r>
            <w:r>
              <w:rPr>
                <w:rFonts w:ascii="仿宋" w:hAnsi="仿宋" w:eastAsia="仿宋" w:cs="宋体"/>
                <w:kern w:val="2"/>
                <w:sz w:val="24"/>
              </w:rPr>
              <w:t>7</w:t>
            </w:r>
            <w:r>
              <w:rPr>
                <w:rFonts w:hint="eastAsia" w:ascii="仿宋" w:hAnsi="仿宋" w:eastAsia="仿宋" w:cs="宋体"/>
                <w:kern w:val="2"/>
                <w:sz w:val="24"/>
              </w:rPr>
              <w:t>～</w:t>
            </w:r>
            <w:r>
              <w:rPr>
                <w:rFonts w:ascii="仿宋" w:hAnsi="仿宋" w:eastAsia="仿宋" w:cs="宋体"/>
                <w:kern w:val="2"/>
                <w:sz w:val="24"/>
              </w:rPr>
              <w:t>5</w:t>
            </w:r>
            <w:r>
              <w:rPr>
                <w:rFonts w:hint="eastAsia" w:ascii="仿宋" w:hAnsi="仿宋" w:eastAsia="仿宋" w:cs="宋体"/>
                <w:kern w:val="2"/>
                <w:sz w:val="24"/>
              </w:rPr>
              <w:t>分；配备人数不合理，人员结构不科学，人员从业经验一般，得</w:t>
            </w:r>
            <w:r>
              <w:rPr>
                <w:rFonts w:ascii="仿宋" w:hAnsi="仿宋" w:eastAsia="仿宋" w:cs="宋体"/>
                <w:kern w:val="2"/>
                <w:sz w:val="24"/>
              </w:rPr>
              <w:t>4</w:t>
            </w:r>
            <w:r>
              <w:rPr>
                <w:rFonts w:hint="eastAsia" w:ascii="仿宋" w:hAnsi="仿宋" w:eastAsia="仿宋" w:cs="宋体"/>
                <w:kern w:val="2"/>
                <w:sz w:val="24"/>
              </w:rPr>
              <w:t>～</w:t>
            </w:r>
            <w:r>
              <w:rPr>
                <w:rFonts w:ascii="仿宋" w:hAnsi="仿宋" w:eastAsia="仿宋" w:cs="宋体"/>
                <w:kern w:val="2"/>
                <w:sz w:val="24"/>
              </w:rPr>
              <w:t>2</w:t>
            </w:r>
            <w:r>
              <w:rPr>
                <w:rFonts w:hint="eastAsia" w:ascii="仿宋" w:hAnsi="仿宋" w:eastAsia="仿宋" w:cs="宋体"/>
                <w:kern w:val="2"/>
                <w:sz w:val="24"/>
              </w:rPr>
              <w:t>分，无此内容，得0分。</w:t>
            </w:r>
          </w:p>
        </w:tc>
        <w:tc>
          <w:tcPr>
            <w:tcW w:w="1199" w:type="dxa"/>
            <w:vAlign w:val="center"/>
          </w:tcPr>
          <w:p>
            <w:pPr>
              <w:spacing w:line="280" w:lineRule="exact"/>
              <w:jc w:val="center"/>
              <w:rPr>
                <w:rFonts w:ascii="仿宋" w:hAnsi="仿宋" w:eastAsia="仿宋" w:cs="宋体"/>
                <w:kern w:val="2"/>
                <w:sz w:val="24"/>
              </w:rPr>
            </w:pPr>
            <w:r>
              <w:rPr>
                <w:rFonts w:ascii="仿宋" w:hAnsi="仿宋" w:eastAsia="仿宋" w:cs="宋体"/>
                <w:kern w:val="2"/>
                <w:sz w:val="24"/>
              </w:rPr>
              <w:t>1</w:t>
            </w:r>
            <w:r>
              <w:rPr>
                <w:rFonts w:hint="eastAsia" w:ascii="仿宋" w:hAnsi="仿宋" w:eastAsia="仿宋" w:cs="宋体"/>
                <w:kern w:val="2"/>
                <w:sz w:val="24"/>
              </w:rPr>
              <w:t>0分</w:t>
            </w:r>
          </w:p>
        </w:tc>
      </w:tr>
    </w:tbl>
    <w:p>
      <w:pPr>
        <w:numPr>
          <w:ilvl w:val="0"/>
          <w:numId w:val="5"/>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综合评分</w:t>
      </w:r>
    </w:p>
    <w:p>
      <w:pPr>
        <w:spacing w:after="0"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各比选申请人的综合得分等于评分细则各项之和，各项得分按四舍五入原则精确到小数点后两位。</w:t>
      </w:r>
    </w:p>
    <w:p>
      <w:pPr>
        <w:numPr>
          <w:ilvl w:val="0"/>
          <w:numId w:val="5"/>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推荐中选候选人</w:t>
      </w:r>
    </w:p>
    <w:p>
      <w:pPr>
        <w:spacing w:after="0"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评审委员会对通过资格评审的比选申请人，按照经评审的综合得分由高到低推荐中选候选人（若不足3名，则按相应数量推荐）。若多名比选申请人的综合得分相同，则报价低的比选申请人将被优先推荐。</w:t>
      </w:r>
    </w:p>
    <w:p>
      <w:pPr>
        <w:spacing w:after="0"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pPr>
        <w:spacing w:after="0" w:line="560" w:lineRule="exact"/>
        <w:ind w:firstLine="880" w:firstLineChars="200"/>
        <w:jc w:val="center"/>
        <w:rPr>
          <w:rFonts w:hint="eastAsia" w:ascii="方正小标宋简体" w:hAnsi="方正小标宋简体" w:eastAsia="方正小标宋简体" w:cs="方正小标宋简体"/>
          <w:bCs/>
          <w:kern w:val="44"/>
          <w:sz w:val="44"/>
          <w:szCs w:val="44"/>
        </w:rPr>
      </w:pPr>
      <w:bookmarkStart w:id="37" w:name="_Toc96874919"/>
      <w:r>
        <w:rPr>
          <w:rFonts w:hint="eastAsia" w:ascii="方正小标宋简体" w:hAnsi="方正小标宋简体" w:eastAsia="方正小标宋简体" w:cs="方正小标宋简体"/>
          <w:bCs/>
          <w:kern w:val="44"/>
          <w:sz w:val="44"/>
          <w:szCs w:val="44"/>
        </w:rPr>
        <w:t>第六章  合同模板</w:t>
      </w:r>
      <w:bookmarkEnd w:id="37"/>
    </w:p>
    <w:p>
      <w:pPr>
        <w:spacing w:after="0" w:line="500" w:lineRule="exact"/>
        <w:rPr>
          <w:rFonts w:asciiTheme="majorEastAsia" w:hAnsiTheme="majorEastAsia" w:eastAsiaTheme="majorEastAsia"/>
        </w:rPr>
      </w:pPr>
      <w:r>
        <w:rPr>
          <w:rFonts w:hint="eastAsia" w:asciiTheme="majorEastAsia" w:hAnsiTheme="majorEastAsia" w:eastAsiaTheme="majorEastAsia"/>
        </w:rPr>
        <w:t>注：（本合同模板仅供参考，以实际签订的法律顾问合同为准）</w:t>
      </w:r>
    </w:p>
    <w:p>
      <w:pPr>
        <w:spacing w:after="0" w:line="500" w:lineRule="exact"/>
        <w:rPr>
          <w:rFonts w:asciiTheme="majorEastAsia" w:hAnsiTheme="majorEastAsia" w:eastAsiaTheme="majorEastAsia"/>
        </w:rPr>
      </w:pPr>
    </w:p>
    <w:p>
      <w:pPr>
        <w:spacing w:line="360" w:lineRule="auto"/>
        <w:jc w:val="center"/>
        <w:rPr>
          <w:rFonts w:ascii="黑体" w:hAnsi="黑体" w:eastAsia="黑体"/>
          <w:b/>
          <w:bCs/>
          <w:sz w:val="32"/>
          <w:szCs w:val="32"/>
        </w:rPr>
      </w:pPr>
      <w:r>
        <w:rPr>
          <w:rFonts w:hint="eastAsia" w:ascii="黑体" w:hAnsi="黑体" w:eastAsia="黑体"/>
          <w:b/>
          <w:bCs/>
          <w:sz w:val="32"/>
          <w:szCs w:val="32"/>
        </w:rPr>
        <w:t>涉税顾问服务业务约定书</w:t>
      </w:r>
    </w:p>
    <w:p>
      <w:pPr>
        <w:spacing w:after="120" w:line="480" w:lineRule="auto"/>
        <w:rPr>
          <w:rFonts w:ascii="黑体" w:hAnsi="黑体" w:eastAsia="黑体"/>
          <w:b/>
        </w:rPr>
      </w:pPr>
      <w:r>
        <w:rPr>
          <w:rFonts w:hint="eastAsia" w:ascii="黑体" w:hAnsi="黑体" w:eastAsia="黑体"/>
          <w:b/>
        </w:rPr>
        <w:t>委托方：四川蜀道铁路运营管理集团有限责任公司（以下简称“甲方”）</w:t>
      </w:r>
    </w:p>
    <w:p>
      <w:pPr>
        <w:spacing w:after="120" w:line="480" w:lineRule="auto"/>
        <w:rPr>
          <w:rFonts w:ascii="黑体" w:hAnsi="黑体" w:eastAsia="黑体" w:cs="黑体"/>
          <w:b/>
        </w:rPr>
      </w:pPr>
      <w:r>
        <w:rPr>
          <w:rFonts w:hint="eastAsia" w:ascii="黑体" w:hAnsi="黑体" w:eastAsia="黑体"/>
          <w:b/>
        </w:rPr>
        <w:t xml:space="preserve">受托方：                                  </w:t>
      </w:r>
      <w:r>
        <w:rPr>
          <w:rFonts w:ascii="黑体" w:hAnsi="黑体" w:eastAsia="黑体" w:cs="黑体"/>
          <w:b/>
        </w:rPr>
        <w:t>(</w:t>
      </w:r>
      <w:r>
        <w:rPr>
          <w:rFonts w:hint="eastAsia" w:ascii="黑体" w:hAnsi="黑体" w:eastAsia="黑体" w:cs="黑体"/>
          <w:b/>
        </w:rPr>
        <w:t>以下简称“乙方”</w:t>
      </w:r>
      <w:r>
        <w:rPr>
          <w:rFonts w:ascii="黑体" w:hAnsi="黑体" w:eastAsia="黑体" w:cs="黑体"/>
          <w:b/>
        </w:rPr>
        <w:t>)</w:t>
      </w:r>
    </w:p>
    <w:p>
      <w:pPr>
        <w:pStyle w:val="11"/>
        <w:spacing w:line="460" w:lineRule="exact"/>
        <w:ind w:left="0" w:leftChars="0" w:firstLine="440" w:firstLineChars="200"/>
        <w:rPr>
          <w:rFonts w:ascii="黑体" w:hAnsi="黑体" w:eastAsia="黑体"/>
          <w:bCs/>
          <w:color w:val="000000"/>
        </w:rPr>
      </w:pPr>
      <w:r>
        <w:rPr>
          <w:rFonts w:hint="eastAsia" w:ascii="黑体" w:hAnsi="黑体" w:eastAsia="黑体"/>
          <w:bCs/>
          <w:color w:val="000000"/>
        </w:rPr>
        <w:t>甲方因业务需要，根据《中华人民共和国民法典》有关规定，现聘请乙方提供税务顾问咨询服务。经双方友好协商，协议如下：</w:t>
      </w:r>
    </w:p>
    <w:p>
      <w:pPr>
        <w:spacing w:line="360" w:lineRule="auto"/>
        <w:ind w:firstLine="442" w:firstLineChars="200"/>
        <w:rPr>
          <w:rFonts w:ascii="黑体" w:hAnsi="黑体" w:eastAsia="黑体"/>
          <w:b/>
        </w:rPr>
      </w:pPr>
      <w:r>
        <w:rPr>
          <w:rFonts w:hint="eastAsia" w:ascii="黑体" w:hAnsi="黑体" w:eastAsia="黑体"/>
          <w:b/>
        </w:rPr>
        <w:t>一、委托目的与背景</w:t>
      </w:r>
    </w:p>
    <w:p>
      <w:pPr>
        <w:spacing w:line="360" w:lineRule="auto"/>
        <w:ind w:firstLine="440" w:firstLineChars="200"/>
        <w:rPr>
          <w:rFonts w:ascii="黑体" w:hAnsi="黑体" w:eastAsia="黑体"/>
          <w:bCs/>
          <w:color w:val="000000"/>
        </w:rPr>
      </w:pPr>
      <w:r>
        <w:rPr>
          <w:rFonts w:hint="eastAsia" w:ascii="黑体" w:hAnsi="黑体" w:eastAsia="黑体"/>
          <w:bCs/>
          <w:color w:val="000000"/>
        </w:rPr>
        <w:t>（1）为甲方企业提供税收管理理念、思路和方法的支持；</w:t>
      </w:r>
    </w:p>
    <w:p>
      <w:pPr>
        <w:spacing w:line="360" w:lineRule="auto"/>
        <w:ind w:firstLine="440" w:firstLineChars="200"/>
        <w:rPr>
          <w:rFonts w:ascii="黑体" w:hAnsi="黑体" w:eastAsia="黑体"/>
          <w:bCs/>
          <w:color w:val="000000"/>
        </w:rPr>
      </w:pPr>
      <w:r>
        <w:rPr>
          <w:rFonts w:hint="eastAsia" w:ascii="黑体" w:hAnsi="黑体" w:eastAsia="黑体"/>
          <w:bCs/>
          <w:color w:val="000000"/>
        </w:rPr>
        <w:t>（2）协助甲方财务做好税收风险管理，提升应对能力。乙方每季度派人到现场进行税收检查；</w:t>
      </w:r>
    </w:p>
    <w:p>
      <w:pPr>
        <w:spacing w:line="360" w:lineRule="auto"/>
        <w:ind w:firstLine="440" w:firstLineChars="200"/>
        <w:rPr>
          <w:rFonts w:ascii="黑体" w:hAnsi="黑体" w:eastAsia="黑体"/>
        </w:rPr>
      </w:pPr>
      <w:r>
        <w:rPr>
          <w:rFonts w:hint="eastAsia" w:ascii="黑体" w:hAnsi="黑体" w:eastAsia="黑体"/>
        </w:rPr>
        <w:t>（3）协助甲方正确运用国家产业政策和财税政策，维护好税收合法权益。</w:t>
      </w:r>
    </w:p>
    <w:p>
      <w:pPr>
        <w:spacing w:line="360" w:lineRule="auto"/>
        <w:ind w:firstLine="442" w:firstLineChars="200"/>
        <w:rPr>
          <w:rFonts w:ascii="黑体" w:hAnsi="黑体" w:eastAsia="黑体"/>
          <w:b/>
          <w:highlight w:val="none"/>
        </w:rPr>
      </w:pPr>
      <w:r>
        <w:rPr>
          <w:rFonts w:hint="eastAsia" w:ascii="黑体" w:hAnsi="黑体" w:eastAsia="黑体"/>
          <w:b/>
          <w:highlight w:val="none"/>
        </w:rPr>
        <w:t>二、具体服务内容</w:t>
      </w:r>
    </w:p>
    <w:p>
      <w:pPr>
        <w:pStyle w:val="50"/>
        <w:ind w:firstLine="442"/>
        <w:rPr>
          <w:rFonts w:ascii="黑体" w:hAnsi="黑体" w:eastAsia="黑体" w:cs="楷体_GB2312"/>
          <w:b/>
        </w:rPr>
      </w:pPr>
      <w:r>
        <w:rPr>
          <w:rFonts w:hint="eastAsia" w:ascii="黑体" w:hAnsi="黑体" w:eastAsia="黑体" w:cs="楷体_GB2312"/>
          <w:b/>
        </w:rPr>
        <w:t>（一）为公司重大事项提供税务筹划并参与过程管理</w:t>
      </w:r>
    </w:p>
    <w:p>
      <w:pPr>
        <w:spacing w:line="360" w:lineRule="auto"/>
        <w:ind w:firstLine="440" w:firstLineChars="200"/>
        <w:rPr>
          <w:rFonts w:ascii="黑体" w:hAnsi="黑体" w:eastAsia="黑体"/>
          <w:bCs/>
          <w:color w:val="000000"/>
        </w:rPr>
      </w:pPr>
      <w:r>
        <w:rPr>
          <w:rFonts w:hint="eastAsia" w:ascii="黑体" w:hAnsi="黑体" w:eastAsia="黑体"/>
          <w:bCs/>
          <w:color w:val="000000"/>
        </w:rPr>
        <w:t>根据甲方要求，有前瞻性的对各重要经济事项（项目）的经营模式、业务流程、管理内容等进行设计安排，规避税务风险，合法降低综合税负。包括但不限于以下方面：</w:t>
      </w:r>
    </w:p>
    <w:p>
      <w:pPr>
        <w:spacing w:line="360" w:lineRule="auto"/>
        <w:ind w:firstLine="440" w:firstLineChars="200"/>
        <w:rPr>
          <w:rFonts w:ascii="黑体" w:hAnsi="黑体" w:eastAsia="黑体"/>
          <w:bCs/>
          <w:color w:val="000000"/>
        </w:rPr>
      </w:pPr>
      <w:r>
        <w:rPr>
          <w:rFonts w:hint="eastAsia" w:ascii="黑体" w:hAnsi="黑体" w:eastAsia="黑体"/>
          <w:bCs/>
          <w:color w:val="000000"/>
        </w:rPr>
        <w:t>1、针对甲方综合开发顶层需求，设计方案并辅导落地实施，乙方会随时接受咨询并在三天内进行邮件、书面回复。</w:t>
      </w:r>
    </w:p>
    <w:p>
      <w:pPr>
        <w:spacing w:line="360" w:lineRule="auto"/>
        <w:ind w:firstLine="440" w:firstLineChars="200"/>
        <w:rPr>
          <w:rFonts w:ascii="黑体" w:hAnsi="黑体" w:eastAsia="黑体"/>
          <w:bCs/>
          <w:color w:val="000000"/>
        </w:rPr>
      </w:pPr>
      <w:r>
        <w:rPr>
          <w:rFonts w:hint="eastAsia" w:ascii="黑体" w:hAnsi="黑体" w:eastAsia="黑体"/>
          <w:bCs/>
          <w:color w:val="000000"/>
        </w:rPr>
        <w:t>2、针对甲方股权收构、资产收购、吸收合并、增资扩股等业务进行税收整体筹划，针对具体案例具体分析原则提供咨询，确保三天内进行回复。</w:t>
      </w:r>
    </w:p>
    <w:p>
      <w:pPr>
        <w:spacing w:line="360" w:lineRule="auto"/>
        <w:ind w:firstLine="440" w:firstLineChars="200"/>
        <w:rPr>
          <w:rFonts w:ascii="黑体" w:hAnsi="黑体" w:eastAsia="黑体"/>
          <w:bCs/>
          <w:color w:val="000000"/>
        </w:rPr>
      </w:pPr>
      <w:r>
        <w:rPr>
          <w:rFonts w:hint="eastAsia" w:ascii="黑体" w:hAnsi="黑体" w:eastAsia="黑体"/>
          <w:bCs/>
          <w:color w:val="000000"/>
        </w:rPr>
        <w:t>3、针对甲方组织架构以及平台公司的增设和甲方战略发展进行税收筹划。根据甲方实际发展情况，定期对甲方的组织构架进行检查，对存在的不合理或需要改进的地方及时向甲方提出，并出具报告。</w:t>
      </w:r>
    </w:p>
    <w:p>
      <w:pPr>
        <w:spacing w:line="360" w:lineRule="auto"/>
        <w:ind w:firstLine="440" w:firstLineChars="200"/>
        <w:rPr>
          <w:rFonts w:ascii="黑体" w:hAnsi="黑体" w:eastAsia="黑体"/>
          <w:bCs/>
          <w:color w:val="000000"/>
        </w:rPr>
      </w:pPr>
      <w:r>
        <w:rPr>
          <w:rFonts w:hint="eastAsia" w:ascii="黑体" w:hAnsi="黑体" w:eastAsia="黑体"/>
          <w:bCs/>
          <w:color w:val="000000"/>
        </w:rPr>
        <w:t>4、根据甲方实际经营情况，合理筹划甲方的资金流，以获得资金的最大利用价值。</w:t>
      </w:r>
    </w:p>
    <w:p>
      <w:pPr>
        <w:pStyle w:val="50"/>
        <w:ind w:firstLine="442"/>
        <w:rPr>
          <w:rFonts w:ascii="黑体" w:hAnsi="黑体" w:eastAsia="黑体" w:cs="楷体_GB2312"/>
          <w:b/>
        </w:rPr>
      </w:pPr>
      <w:r>
        <w:rPr>
          <w:rFonts w:hint="eastAsia" w:ascii="黑体" w:hAnsi="黑体" w:eastAsia="黑体" w:cs="楷体_GB2312"/>
          <w:b/>
        </w:rPr>
        <w:t>（二）参与重要经济合同涉税评审及检查</w:t>
      </w:r>
    </w:p>
    <w:p>
      <w:pPr>
        <w:spacing w:line="360" w:lineRule="auto"/>
        <w:ind w:firstLine="550" w:firstLineChars="250"/>
        <w:rPr>
          <w:rFonts w:ascii="黑体" w:hAnsi="黑体" w:eastAsia="黑体"/>
          <w:bCs/>
          <w:color w:val="000000"/>
        </w:rPr>
      </w:pPr>
      <w:r>
        <w:rPr>
          <w:rFonts w:hint="eastAsia" w:ascii="黑体" w:hAnsi="黑体" w:eastAsia="黑体"/>
          <w:bCs/>
          <w:color w:val="000000"/>
        </w:rPr>
        <w:t>1、根据甲方需求，针对甲方后期签定的重大合同进行财务税收审核，对超过100万以上的合同进行财税合同评审并出具税务意见（同类别的只审核其中一个合同），从源头规避税务风险，合法降低税负以确保决策中税务事项的科学性。</w:t>
      </w:r>
    </w:p>
    <w:p>
      <w:pPr>
        <w:spacing w:line="360" w:lineRule="auto"/>
        <w:ind w:firstLine="550" w:firstLineChars="250"/>
        <w:rPr>
          <w:rFonts w:ascii="黑体" w:hAnsi="黑体" w:eastAsia="黑体"/>
          <w:bCs/>
          <w:color w:val="000000"/>
        </w:rPr>
      </w:pPr>
      <w:r>
        <w:rPr>
          <w:rFonts w:hint="eastAsia" w:ascii="黑体" w:hAnsi="黑体" w:eastAsia="黑体"/>
          <w:bCs/>
          <w:color w:val="000000"/>
        </w:rPr>
        <w:t>2、随时接受财务对个别合同的咨询。</w:t>
      </w:r>
    </w:p>
    <w:p>
      <w:pPr>
        <w:spacing w:line="360" w:lineRule="auto"/>
        <w:ind w:firstLine="550" w:firstLineChars="250"/>
        <w:rPr>
          <w:rFonts w:ascii="黑体" w:hAnsi="黑体" w:eastAsia="黑体"/>
          <w:bCs/>
          <w:color w:val="000000"/>
        </w:rPr>
      </w:pPr>
      <w:r>
        <w:rPr>
          <w:rFonts w:hint="eastAsia" w:ascii="黑体" w:hAnsi="黑体" w:eastAsia="黑体"/>
          <w:bCs/>
          <w:color w:val="000000"/>
        </w:rPr>
        <w:t>3、加强对甲方签署合同的审查，对重大合同（超过100万的合同）抽查率达到50%及以上，小额合同抽查率达到10%。</w:t>
      </w:r>
    </w:p>
    <w:p>
      <w:pPr>
        <w:spacing w:line="360" w:lineRule="auto"/>
        <w:ind w:firstLine="440" w:firstLineChars="200"/>
        <w:rPr>
          <w:rFonts w:ascii="黑体" w:hAnsi="黑体" w:eastAsia="黑体"/>
          <w:bCs/>
          <w:color w:val="000000"/>
        </w:rPr>
      </w:pPr>
      <w:r>
        <w:rPr>
          <w:rFonts w:hint="eastAsia" w:ascii="黑体" w:hAnsi="黑体" w:eastAsia="黑体"/>
          <w:bCs/>
          <w:color w:val="000000"/>
        </w:rPr>
        <w:t>4、针对甲方前期已发生的各项重大经济合同（超过100万的合同）进行税务审核，并出具意见、建议报告。</w:t>
      </w:r>
    </w:p>
    <w:p>
      <w:pPr>
        <w:pStyle w:val="50"/>
        <w:ind w:firstLine="442"/>
        <w:rPr>
          <w:rFonts w:ascii="黑体" w:hAnsi="黑体" w:eastAsia="黑体" w:cs="楷体_GB2312"/>
          <w:b/>
        </w:rPr>
      </w:pPr>
      <w:r>
        <w:rPr>
          <w:rFonts w:hint="eastAsia" w:ascii="黑体" w:hAnsi="黑体" w:eastAsia="黑体" w:cs="楷体_GB2312"/>
          <w:b/>
        </w:rPr>
        <w:t>（三）日常财税答疑及提供解决办法</w:t>
      </w:r>
    </w:p>
    <w:p>
      <w:pPr>
        <w:spacing w:line="360" w:lineRule="auto"/>
        <w:ind w:firstLine="550" w:firstLineChars="250"/>
        <w:rPr>
          <w:rFonts w:ascii="黑体" w:hAnsi="黑体" w:eastAsia="黑体"/>
          <w:bCs/>
          <w:color w:val="000000"/>
        </w:rPr>
      </w:pPr>
      <w:r>
        <w:rPr>
          <w:rFonts w:hint="eastAsia" w:ascii="黑体" w:hAnsi="黑体" w:eastAsia="黑体"/>
          <w:bCs/>
          <w:color w:val="000000"/>
        </w:rPr>
        <w:t>乙方将根据甲方的业务发展需求，每季度走访并记录随访录，提供税收法律、法规和政策方面的咨询，纳税申报操作环节、会计处理及具体方法的咨询；同时对提出的税收政策方面的疑难问题进行解答。</w:t>
      </w:r>
    </w:p>
    <w:p>
      <w:pPr>
        <w:spacing w:line="360" w:lineRule="auto"/>
        <w:ind w:firstLine="440" w:firstLineChars="200"/>
        <w:rPr>
          <w:rFonts w:ascii="黑体" w:hAnsi="黑体" w:eastAsia="黑体"/>
          <w:bCs/>
          <w:color w:val="000000"/>
        </w:rPr>
      </w:pPr>
      <w:r>
        <w:rPr>
          <w:rFonts w:hint="eastAsia" w:ascii="黑体" w:hAnsi="黑体" w:eastAsia="黑体"/>
          <w:bCs/>
          <w:color w:val="000000"/>
        </w:rPr>
        <w:t>乙方接受委托后，将根据甲方经营业务性质，分析各税种可能存在的风险，重点解决存在的涉税事项，做好行业疑难问题解答，为企业相关税收优惠政策享用提供充分的法律法规依据，同时在征收管理环节为企业提供最准确的专业知识。</w:t>
      </w:r>
    </w:p>
    <w:p>
      <w:pPr>
        <w:spacing w:line="360" w:lineRule="auto"/>
        <w:ind w:firstLine="550" w:firstLineChars="250"/>
        <w:rPr>
          <w:rFonts w:ascii="黑体" w:hAnsi="黑体" w:eastAsia="黑体"/>
          <w:bCs/>
          <w:color w:val="000000"/>
        </w:rPr>
      </w:pPr>
      <w:r>
        <w:rPr>
          <w:rFonts w:hint="eastAsia" w:ascii="黑体" w:hAnsi="黑体" w:eastAsia="黑体"/>
          <w:bCs/>
          <w:color w:val="000000"/>
        </w:rPr>
        <w:t>日常涉税解答对象包含甲方相关财务人员以及部分业务人员。通过电话、QQ、邮件等形式解答甲方相关人员日常工作中遇到的财税问题。甲方相关人员可随时向我方电话咨询有关涉税问题，对于特殊情况也可到甲方指定的地点提供服务。</w:t>
      </w:r>
    </w:p>
    <w:p>
      <w:pPr>
        <w:pStyle w:val="50"/>
        <w:ind w:firstLine="442"/>
        <w:rPr>
          <w:rFonts w:ascii="黑体" w:hAnsi="黑体" w:eastAsia="黑体" w:cs="楷体_GB2312"/>
          <w:b/>
        </w:rPr>
      </w:pPr>
      <w:r>
        <w:rPr>
          <w:rFonts w:hint="eastAsia" w:ascii="黑体" w:hAnsi="黑体" w:eastAsia="黑体" w:cs="楷体_GB2312"/>
          <w:b/>
        </w:rPr>
        <w:t>（四）新政策解读与分享</w:t>
      </w:r>
    </w:p>
    <w:p>
      <w:pPr>
        <w:spacing w:line="360" w:lineRule="auto"/>
        <w:ind w:firstLine="550" w:firstLineChars="250"/>
        <w:rPr>
          <w:rFonts w:ascii="黑体" w:hAnsi="黑体" w:eastAsia="黑体"/>
          <w:bCs/>
          <w:color w:val="000000"/>
        </w:rPr>
      </w:pPr>
      <w:r>
        <w:rPr>
          <w:rFonts w:hint="eastAsia" w:ascii="黑体" w:hAnsi="黑体" w:eastAsia="黑体"/>
          <w:bCs/>
          <w:color w:val="000000"/>
        </w:rPr>
        <w:t>随时向甲方传递各级财税部门出台的最新政策以及专家团队的解读，对特定政策文件进行解释。根据甲方经营范围，分析年度经济收入类型、性质，运用增值税、所得税等税收优惠政策，为甲方提供比较精准的税收优惠政策建议。</w:t>
      </w:r>
    </w:p>
    <w:p>
      <w:pPr>
        <w:pStyle w:val="50"/>
        <w:ind w:firstLine="442"/>
        <w:rPr>
          <w:rFonts w:ascii="黑体" w:hAnsi="黑体" w:eastAsia="黑体" w:cs="楷体_GB2312"/>
          <w:b/>
        </w:rPr>
      </w:pPr>
      <w:r>
        <w:rPr>
          <w:rFonts w:hint="eastAsia" w:ascii="黑体" w:hAnsi="黑体" w:eastAsia="黑体" w:cs="楷体_GB2312"/>
          <w:b/>
        </w:rPr>
        <w:t>（五）纳税遵从日常健康体检及特别事项专门检查</w:t>
      </w:r>
    </w:p>
    <w:p>
      <w:pPr>
        <w:spacing w:line="360" w:lineRule="auto"/>
        <w:ind w:firstLine="440" w:firstLineChars="200"/>
        <w:rPr>
          <w:rFonts w:ascii="黑体" w:hAnsi="黑体" w:eastAsia="黑体"/>
          <w:bCs/>
          <w:color w:val="000000"/>
        </w:rPr>
      </w:pPr>
      <w:r>
        <w:rPr>
          <w:rFonts w:hint="eastAsia" w:ascii="黑体" w:hAnsi="黑体" w:eastAsia="黑体"/>
          <w:bCs/>
          <w:color w:val="000000"/>
        </w:rPr>
        <w:t>1、协助甲方开展税收专项自查工作，并对税务自查评估过程中发现的问题提供解决方案，确保甲方的税务操作合规合法，最大限度的规避税务风险。</w:t>
      </w:r>
    </w:p>
    <w:p>
      <w:pPr>
        <w:spacing w:line="360" w:lineRule="auto"/>
        <w:ind w:firstLine="440" w:firstLineChars="200"/>
        <w:rPr>
          <w:rFonts w:ascii="黑体" w:hAnsi="黑体" w:eastAsia="黑体"/>
          <w:bCs/>
          <w:color w:val="000000"/>
        </w:rPr>
      </w:pPr>
      <w:r>
        <w:rPr>
          <w:rFonts w:hint="eastAsia" w:ascii="黑体" w:hAnsi="黑体" w:eastAsia="黑体"/>
          <w:bCs/>
          <w:color w:val="000000"/>
        </w:rPr>
        <w:t>2、对会计核算方式、财务处理提供咨询服务。每次对甲方财务凭证进行不少于</w:t>
      </w:r>
      <w:r>
        <w:rPr>
          <w:rFonts w:ascii="黑体" w:hAnsi="黑体" w:eastAsia="黑体"/>
          <w:bCs/>
          <w:color w:val="000000"/>
        </w:rPr>
        <w:t>50</w:t>
      </w:r>
      <w:r>
        <w:rPr>
          <w:rFonts w:hint="eastAsia" w:ascii="黑体" w:hAnsi="黑体" w:eastAsia="黑体"/>
          <w:bCs/>
          <w:color w:val="000000"/>
        </w:rPr>
        <w:t>%的抽查，根据企业会计准则以及税收相关规定，对甲方财务凭证以及税收账务处理存在的问题及时提出整改建议，并指导甲方进行改进，对改进效果予以跟踪，形成闭环监控管理，从而逐步规范相关财税工作。</w:t>
      </w:r>
    </w:p>
    <w:p>
      <w:pPr>
        <w:spacing w:line="360" w:lineRule="auto"/>
        <w:ind w:firstLine="552" w:firstLineChars="250"/>
        <w:rPr>
          <w:rFonts w:ascii="黑体" w:hAnsi="黑体" w:eastAsia="黑体" w:cs="楷体_GB2312"/>
          <w:b/>
        </w:rPr>
      </w:pPr>
      <w:r>
        <w:rPr>
          <w:rFonts w:hint="eastAsia" w:ascii="黑体" w:hAnsi="黑体" w:eastAsia="黑体" w:cs="楷体_GB2312"/>
          <w:b/>
        </w:rPr>
        <w:t>（六）协助甲方与税务部门的交流、沟通</w:t>
      </w:r>
    </w:p>
    <w:p>
      <w:pPr>
        <w:spacing w:line="360" w:lineRule="auto"/>
        <w:ind w:firstLine="480"/>
        <w:rPr>
          <w:rFonts w:ascii="黑体" w:hAnsi="黑体" w:eastAsia="黑体"/>
          <w:bCs/>
          <w:color w:val="000000"/>
        </w:rPr>
      </w:pPr>
      <w:r>
        <w:rPr>
          <w:rFonts w:hint="eastAsia" w:ascii="黑体" w:hAnsi="黑体" w:eastAsia="黑体"/>
          <w:bCs/>
          <w:color w:val="000000"/>
        </w:rPr>
        <w:t>针对甲方遇到的疑难问题，如增值税纳税义务时间、统借统还等问题，利用乙方良好的沟通渠道，争取取得更有利于甲方的政策支持，以达到及时准确纳税之目的，规避涉税风险。</w:t>
      </w:r>
    </w:p>
    <w:p>
      <w:pPr>
        <w:spacing w:line="360" w:lineRule="auto"/>
        <w:ind w:firstLine="552" w:firstLineChars="250"/>
        <w:rPr>
          <w:rFonts w:ascii="黑体" w:hAnsi="黑体" w:eastAsia="黑体" w:cs="楷体_GB2312"/>
          <w:b/>
        </w:rPr>
      </w:pPr>
      <w:r>
        <w:rPr>
          <w:rFonts w:hint="eastAsia" w:ascii="黑体" w:hAnsi="黑体" w:eastAsia="黑体" w:cs="楷体_GB2312"/>
          <w:b/>
        </w:rPr>
        <w:t>（七）协助甲方与政府相关部门的交流、沟通</w:t>
      </w:r>
    </w:p>
    <w:p>
      <w:pPr>
        <w:spacing w:line="360" w:lineRule="auto"/>
        <w:ind w:firstLine="480"/>
        <w:rPr>
          <w:rFonts w:hint="eastAsia" w:ascii="黑体" w:hAnsi="黑体" w:eastAsia="黑体"/>
          <w:bCs/>
          <w:color w:val="000000"/>
        </w:rPr>
      </w:pPr>
      <w:r>
        <w:rPr>
          <w:rFonts w:hint="eastAsia" w:ascii="黑体" w:hAnsi="黑体" w:eastAsia="黑体"/>
          <w:bCs/>
          <w:color w:val="000000"/>
        </w:rPr>
        <w:t>根据甲方的经营规模与业绩，协助甲方与政府相关部门沟通交流，及时全方位享受到政府给予企业的各种奖励和政策支持。</w:t>
      </w:r>
    </w:p>
    <w:p>
      <w:pPr>
        <w:spacing w:line="360" w:lineRule="auto"/>
        <w:ind w:firstLine="552" w:firstLineChars="250"/>
        <w:rPr>
          <w:rFonts w:hint="eastAsia" w:ascii="黑体" w:hAnsi="黑体" w:eastAsia="黑体" w:cs="楷体_GB2312"/>
          <w:b/>
          <w:lang w:val="en-US" w:eastAsia="zh-CN"/>
        </w:rPr>
      </w:pPr>
      <w:r>
        <w:rPr>
          <w:rFonts w:hint="eastAsia" w:ascii="黑体" w:hAnsi="黑体" w:eastAsia="黑体" w:cs="楷体_GB2312"/>
          <w:b/>
          <w:lang w:val="en-US" w:eastAsia="zh-CN"/>
        </w:rPr>
        <w:t>(八）税务档案整理</w:t>
      </w:r>
    </w:p>
    <w:p>
      <w:pPr>
        <w:pStyle w:val="4"/>
        <w:ind w:firstLine="440" w:firstLineChars="200"/>
        <w:rPr>
          <w:rFonts w:hint="eastAsia" w:ascii="黑体" w:hAnsi="黑体" w:eastAsia="黑体" w:cstheme="minorBidi"/>
          <w:bCs/>
          <w:color w:val="000000"/>
          <w:sz w:val="22"/>
          <w:szCs w:val="22"/>
          <w:lang w:val="en-US" w:eastAsia="zh-CN" w:bidi="ar-SA"/>
        </w:rPr>
      </w:pPr>
      <w:r>
        <w:rPr>
          <w:rFonts w:hint="default" w:ascii="黑体" w:hAnsi="黑体" w:eastAsia="黑体" w:cstheme="minorBidi"/>
          <w:bCs/>
          <w:color w:val="000000"/>
          <w:sz w:val="22"/>
          <w:szCs w:val="22"/>
          <w:lang w:val="en-US" w:eastAsia="zh-CN" w:bidi="ar-SA"/>
        </w:rPr>
        <w:t>协助甲方</w:t>
      </w:r>
      <w:r>
        <w:rPr>
          <w:rFonts w:hint="eastAsia" w:ascii="黑体" w:hAnsi="黑体" w:eastAsia="黑体" w:cstheme="minorBidi"/>
          <w:bCs/>
          <w:color w:val="000000"/>
          <w:sz w:val="22"/>
          <w:szCs w:val="22"/>
          <w:lang w:val="en-US" w:eastAsia="zh-CN" w:bidi="ar-SA"/>
        </w:rPr>
        <w:t>出台税务档案管理相关制度办法、协助甲方集团本部及所属企业建立税务档案管理、协助甲方集团本部整理税务资料，形成税务相关档案。</w:t>
      </w:r>
    </w:p>
    <w:p>
      <w:pPr>
        <w:spacing w:line="360" w:lineRule="auto"/>
        <w:ind w:firstLine="552" w:firstLineChars="250"/>
        <w:rPr>
          <w:rFonts w:hint="eastAsia" w:ascii="黑体" w:hAnsi="黑体" w:eastAsia="黑体" w:cs="楷体_GB2312"/>
          <w:b/>
          <w:lang w:val="en-US" w:eastAsia="zh-CN"/>
        </w:rPr>
      </w:pPr>
      <w:r>
        <w:rPr>
          <w:rFonts w:hint="eastAsia" w:ascii="黑体" w:hAnsi="黑体" w:eastAsia="黑体" w:cs="楷体_GB2312"/>
          <w:b/>
          <w:lang w:val="en-US" w:eastAsia="zh-CN"/>
        </w:rPr>
        <w:t>（九）所得税汇算清缴</w:t>
      </w:r>
    </w:p>
    <w:p>
      <w:pPr>
        <w:spacing w:after="0" w:line="500" w:lineRule="exact"/>
        <w:ind w:firstLine="440" w:firstLineChars="200"/>
        <w:jc w:val="both"/>
        <w:rPr>
          <w:rFonts w:hint="eastAsia" w:ascii="黑体" w:hAnsi="黑体" w:eastAsia="黑体" w:cstheme="minorBidi"/>
          <w:bCs/>
          <w:color w:val="000000"/>
          <w:sz w:val="22"/>
          <w:szCs w:val="22"/>
          <w:lang w:val="en-US" w:eastAsia="zh-CN" w:bidi="ar-SA"/>
        </w:rPr>
      </w:pPr>
      <w:r>
        <w:rPr>
          <w:rFonts w:hint="eastAsia" w:ascii="黑体" w:hAnsi="黑体" w:eastAsia="黑体" w:cstheme="minorBidi"/>
          <w:bCs/>
          <w:color w:val="000000"/>
          <w:sz w:val="22"/>
          <w:szCs w:val="22"/>
          <w:lang w:val="en-US" w:eastAsia="zh-CN" w:bidi="ar-SA"/>
        </w:rPr>
        <w:t>审核甲方的会计凭证、会计账务、审计报告、重要合同等全部纳税申报资料，依据企业所得税法相关规定，对甲方年度企业所得税汇算清缴出具审核报告，协助铁路物流公司和合资铁路成自公司企业所得税汇算清缴。</w:t>
      </w:r>
    </w:p>
    <w:p/>
    <w:p>
      <w:pPr>
        <w:pStyle w:val="50"/>
        <w:ind w:firstLine="442"/>
        <w:rPr>
          <w:rFonts w:ascii="黑体" w:hAnsi="黑体" w:eastAsia="黑体" w:cs="楷体_GB2312"/>
          <w:b/>
        </w:rPr>
      </w:pPr>
      <w:r>
        <w:rPr>
          <w:rFonts w:hint="eastAsia" w:ascii="黑体" w:hAnsi="黑体" w:eastAsia="黑体" w:cs="楷体_GB2312"/>
          <w:b/>
        </w:rPr>
        <w:t>三  服务方式</w:t>
      </w:r>
    </w:p>
    <w:p>
      <w:pPr>
        <w:pStyle w:val="50"/>
        <w:ind w:firstLine="440"/>
        <w:rPr>
          <w:rFonts w:ascii="黑体" w:hAnsi="黑体" w:eastAsia="黑体" w:cs="楷体_GB2312"/>
        </w:rPr>
      </w:pPr>
      <w:r>
        <w:rPr>
          <w:rFonts w:eastAsia="黑体" w:cs="楷体_GB2312" w:asciiTheme="majorEastAsia" w:hAnsiTheme="majorEastAsia"/>
        </w:rPr>
        <w:t> </w:t>
      </w:r>
      <w:r>
        <w:rPr>
          <w:rFonts w:hint="eastAsia" w:ascii="黑体" w:hAnsi="黑体" w:eastAsia="黑体" w:cs="楷体_GB2312"/>
        </w:rPr>
        <w:t>根据以上服务范围，乙方税务顾问服务原则上采取“随时电话联系”与“定期实地查核”相结合的工作方式，具体为：</w:t>
      </w:r>
    </w:p>
    <w:p>
      <w:pPr>
        <w:pStyle w:val="50"/>
        <w:ind w:firstLine="440"/>
        <w:rPr>
          <w:rFonts w:ascii="黑体" w:hAnsi="黑体" w:eastAsia="黑体" w:cs="楷体_GB2312"/>
        </w:rPr>
      </w:pPr>
      <w:r>
        <w:rPr>
          <w:rFonts w:ascii="黑体" w:hAnsi="黑体" w:eastAsia="黑体" w:cs="楷体_GB2312"/>
        </w:rPr>
        <w:t>1</w:t>
      </w:r>
      <w:r>
        <w:rPr>
          <w:rFonts w:hint="eastAsia" w:ascii="黑体" w:hAnsi="黑体" w:eastAsia="黑体" w:cs="楷体_GB2312"/>
        </w:rPr>
        <w:t>、安排服务团队：乙方在协议签订后，根据甲方服务要求及相关情况成立服务团队，并指定专门的客户经理负责日常联系和组织服务实施；</w:t>
      </w:r>
    </w:p>
    <w:p>
      <w:pPr>
        <w:pStyle w:val="50"/>
        <w:ind w:firstLine="440"/>
        <w:rPr>
          <w:rFonts w:ascii="黑体" w:hAnsi="黑体" w:eastAsia="黑体" w:cs="楷体_GB2312"/>
        </w:rPr>
      </w:pPr>
      <w:r>
        <w:rPr>
          <w:rFonts w:ascii="黑体" w:hAnsi="黑体" w:eastAsia="黑体" w:cs="楷体_GB2312"/>
        </w:rPr>
        <w:t>2</w:t>
      </w:r>
      <w:r>
        <w:rPr>
          <w:rFonts w:hint="eastAsia" w:ascii="黑体" w:hAnsi="黑体" w:eastAsia="黑体" w:cs="楷体_GB2312"/>
        </w:rPr>
        <w:t>、制定服务计划：乙方进行首次服务时应与甲方进行充分沟通，在本协议原则内，根据甲方的需求落实服务期间内具体服务内容，制定相应的服务计划并实施。</w:t>
      </w:r>
    </w:p>
    <w:p>
      <w:pPr>
        <w:pStyle w:val="50"/>
        <w:ind w:firstLine="440"/>
        <w:rPr>
          <w:rFonts w:ascii="黑体" w:hAnsi="黑体" w:eastAsia="黑体" w:cs="楷体_GB2312"/>
        </w:rPr>
      </w:pPr>
      <w:r>
        <w:rPr>
          <w:rFonts w:ascii="黑体" w:hAnsi="黑体" w:eastAsia="黑体" w:cs="楷体_GB2312"/>
        </w:rPr>
        <w:t>3</w:t>
      </w:r>
      <w:r>
        <w:rPr>
          <w:rFonts w:hint="eastAsia" w:ascii="黑体" w:hAnsi="黑体" w:eastAsia="黑体" w:cs="楷体_GB2312"/>
        </w:rPr>
        <w:t>、政策信息传递：乙方以短信、网络等灵活的方式为甲方及时传递相关财税政策信息，按甲方提供相关接收信息的相关人员的手机号、邮箱发送相关信息。</w:t>
      </w:r>
    </w:p>
    <w:p>
      <w:pPr>
        <w:pStyle w:val="50"/>
        <w:ind w:firstLine="440"/>
        <w:rPr>
          <w:rFonts w:ascii="黑体" w:hAnsi="黑体" w:eastAsia="黑体" w:cs="楷体_GB2312"/>
        </w:rPr>
      </w:pPr>
      <w:r>
        <w:rPr>
          <w:rFonts w:ascii="黑体" w:hAnsi="黑体" w:eastAsia="黑体" w:cs="楷体_GB2312"/>
        </w:rPr>
        <w:t>4</w:t>
      </w:r>
      <w:r>
        <w:rPr>
          <w:rFonts w:hint="eastAsia" w:ascii="黑体" w:hAnsi="黑体" w:eastAsia="黑体" w:cs="楷体_GB2312"/>
        </w:rPr>
        <w:t>、电话交流咨询：甲方可随时就相关涉税事项向乙方服务人员进行电话咨询，根据问题的难易程度可向乙方包括合伙人、部门负责人、项目经理等人员进行电话沟通，对重要涉税事项乙方服务人员应作电话记录。</w:t>
      </w:r>
    </w:p>
    <w:p>
      <w:pPr>
        <w:pStyle w:val="50"/>
        <w:ind w:firstLine="440"/>
        <w:rPr>
          <w:rFonts w:ascii="黑体" w:hAnsi="黑体" w:eastAsia="黑体" w:cs="楷体_GB2312"/>
        </w:rPr>
      </w:pPr>
      <w:r>
        <w:rPr>
          <w:rFonts w:ascii="黑体" w:hAnsi="黑体" w:eastAsia="黑体" w:cs="楷体_GB2312"/>
        </w:rPr>
        <w:t>5</w:t>
      </w:r>
      <w:r>
        <w:rPr>
          <w:rFonts w:hint="eastAsia" w:ascii="黑体" w:hAnsi="黑体" w:eastAsia="黑体" w:cs="楷体_GB2312"/>
        </w:rPr>
        <w:t>、现场服务安排：乙方根据计划安排每次主动上门服务前应与甲方预约和沟通，甲方也可根据涉税事项需要，要求乙方上门服务或到乙方处咨询，但应提前通知乙方，以便合理安排人员和时间。现场服务主要实施专门事项咨询及纳税审核等服务内容。</w:t>
      </w:r>
    </w:p>
    <w:p>
      <w:pPr>
        <w:pStyle w:val="50"/>
        <w:ind w:firstLine="440"/>
        <w:rPr>
          <w:rFonts w:ascii="黑体" w:hAnsi="黑体" w:eastAsia="黑体" w:cs="楷体_GB2312"/>
        </w:rPr>
      </w:pPr>
      <w:r>
        <w:rPr>
          <w:rFonts w:ascii="黑体" w:hAnsi="黑体" w:eastAsia="黑体" w:cs="楷体_GB2312"/>
        </w:rPr>
        <w:t>6</w:t>
      </w:r>
      <w:r>
        <w:rPr>
          <w:rFonts w:hint="eastAsia" w:ascii="黑体" w:hAnsi="黑体" w:eastAsia="黑体" w:cs="楷体_GB2312"/>
        </w:rPr>
        <w:t>、服务质量监督：在服务期间内，甲方可对乙方的服务质量及方式提出建议和意见，乙方管理层应定期与甲方进行沟通交流，征求服务意见，并及时对甲方意见进行落实反馈。</w:t>
      </w:r>
    </w:p>
    <w:p>
      <w:pPr>
        <w:pStyle w:val="50"/>
        <w:ind w:firstLine="442"/>
        <w:rPr>
          <w:rFonts w:ascii="黑体" w:hAnsi="黑体" w:eastAsia="黑体" w:cs="楷体_GB2312"/>
          <w:b/>
        </w:rPr>
      </w:pPr>
      <w:r>
        <w:rPr>
          <w:rFonts w:hint="eastAsia" w:ascii="黑体" w:hAnsi="黑体" w:eastAsia="黑体" w:cs="楷体_GB2312"/>
          <w:b/>
        </w:rPr>
        <w:t>四、甲方的责任与义务</w:t>
      </w:r>
    </w:p>
    <w:p>
      <w:pPr>
        <w:pStyle w:val="50"/>
        <w:ind w:firstLine="440"/>
        <w:rPr>
          <w:rFonts w:ascii="黑体" w:hAnsi="黑体" w:eastAsia="黑体" w:cs="楷体_GB2312"/>
        </w:rPr>
      </w:pPr>
      <w:r>
        <w:rPr>
          <w:rFonts w:ascii="黑体" w:hAnsi="黑体" w:eastAsia="黑体" w:cs="楷体_GB2312"/>
        </w:rPr>
        <w:t>1</w:t>
      </w:r>
      <w:r>
        <w:rPr>
          <w:rFonts w:hint="eastAsia" w:ascii="黑体" w:hAnsi="黑体" w:eastAsia="黑体" w:cs="楷体_GB2312"/>
        </w:rPr>
        <w:t>、甲方应及时、真实、详尽地向乙方提供与乙方服务事项有关的全部文件及背景材料</w:t>
      </w:r>
      <w:r>
        <w:rPr>
          <w:rFonts w:ascii="黑体" w:hAnsi="黑体" w:eastAsia="黑体"/>
          <w:color w:val="222222"/>
          <w:shd w:val="clear" w:color="auto" w:fill="FFFFFF"/>
        </w:rPr>
        <w:t>并对其真实性、合法性、完整性负责</w:t>
      </w:r>
      <w:r>
        <w:rPr>
          <w:rFonts w:hint="eastAsia" w:ascii="黑体" w:hAnsi="黑体" w:eastAsia="黑体"/>
          <w:color w:val="222222"/>
          <w:shd w:val="clear" w:color="auto" w:fill="FFFFFF"/>
        </w:rPr>
        <w:t>；</w:t>
      </w:r>
      <w:r>
        <w:rPr>
          <w:rFonts w:hint="eastAsia" w:ascii="黑体" w:hAnsi="黑体" w:eastAsia="黑体" w:cs="楷体_GB2312"/>
        </w:rPr>
        <w:t>对乙方服务人员所需查阅的相关文件材料及提出询问的相关事项，甲方应及时提供与回答。</w:t>
      </w:r>
      <w:r>
        <w:rPr>
          <w:rFonts w:ascii="黑体" w:hAnsi="黑体" w:eastAsia="黑体"/>
          <w:color w:val="222222"/>
          <w:shd w:val="clear" w:color="auto" w:fill="FFFFFF"/>
        </w:rPr>
        <w:t>如因甲方提供的涉税资料失实，造成代理结果错误的，乙方不负赔偿责任。</w:t>
      </w:r>
    </w:p>
    <w:p>
      <w:pPr>
        <w:pStyle w:val="50"/>
        <w:ind w:firstLine="440"/>
        <w:rPr>
          <w:rFonts w:ascii="黑体" w:hAnsi="黑体" w:eastAsia="黑体" w:cs="楷体_GB2312"/>
        </w:rPr>
      </w:pPr>
      <w:r>
        <w:rPr>
          <w:rFonts w:ascii="黑体" w:hAnsi="黑体" w:eastAsia="黑体" w:cs="楷体_GB2312"/>
        </w:rPr>
        <w:t>2</w:t>
      </w:r>
      <w:r>
        <w:rPr>
          <w:rFonts w:hint="eastAsia" w:ascii="黑体" w:hAnsi="黑体" w:eastAsia="黑体" w:cs="楷体_GB2312"/>
        </w:rPr>
        <w:t>、甲方应积极主动地配合乙方服务人员为甲方涉税事项从事的各项工作，并根据实际情况为乙方工作人员提供必要的工作条件及其他便利。</w:t>
      </w:r>
    </w:p>
    <w:p>
      <w:pPr>
        <w:pStyle w:val="50"/>
        <w:ind w:firstLine="440"/>
        <w:rPr>
          <w:rFonts w:ascii="黑体" w:hAnsi="黑体" w:eastAsia="黑体" w:cs="楷体_GB2312"/>
        </w:rPr>
      </w:pPr>
      <w:r>
        <w:rPr>
          <w:rFonts w:ascii="黑体" w:hAnsi="黑体" w:eastAsia="黑体" w:cs="楷体_GB2312"/>
        </w:rPr>
        <w:t>3</w:t>
      </w:r>
      <w:r>
        <w:rPr>
          <w:rFonts w:hint="eastAsia" w:ascii="黑体" w:hAnsi="黑体" w:eastAsia="黑体" w:cs="楷体_GB2312"/>
        </w:rPr>
        <w:t>、甲方对乙方提供的服务建议采纳与否应自行做出决策，甲方不得要求乙方提供违反法律、法规及相关政策规定服务。</w:t>
      </w:r>
    </w:p>
    <w:p>
      <w:pPr>
        <w:pStyle w:val="50"/>
        <w:ind w:firstLine="440"/>
        <w:rPr>
          <w:rFonts w:ascii="黑体" w:hAnsi="黑体" w:eastAsia="黑体" w:cs="楷体_GB2312"/>
        </w:rPr>
      </w:pPr>
      <w:r>
        <w:rPr>
          <w:rFonts w:ascii="黑体" w:hAnsi="黑体" w:eastAsia="黑体" w:cs="楷体_GB2312"/>
        </w:rPr>
        <w:t>4</w:t>
      </w:r>
      <w:r>
        <w:rPr>
          <w:rFonts w:hint="eastAsia" w:ascii="黑体" w:hAnsi="黑体" w:eastAsia="黑体" w:cs="楷体_GB2312"/>
        </w:rPr>
        <w:t>、按本协议书约定及时足额向乙方支付顾问服务费用。</w:t>
      </w:r>
    </w:p>
    <w:p>
      <w:pPr>
        <w:pStyle w:val="50"/>
        <w:ind w:firstLine="442"/>
        <w:rPr>
          <w:rFonts w:ascii="黑体" w:hAnsi="黑体" w:eastAsia="黑体" w:cs="楷体_GB2312"/>
          <w:b/>
        </w:rPr>
      </w:pPr>
      <w:r>
        <w:rPr>
          <w:rFonts w:hint="eastAsia" w:ascii="黑体" w:hAnsi="黑体" w:eastAsia="黑体" w:cs="楷体_GB2312"/>
          <w:b/>
        </w:rPr>
        <w:t>五、乙方的责任和义务</w:t>
      </w:r>
    </w:p>
    <w:p>
      <w:pPr>
        <w:pStyle w:val="50"/>
        <w:ind w:firstLine="440"/>
        <w:rPr>
          <w:rFonts w:ascii="黑体" w:hAnsi="黑体" w:eastAsia="黑体" w:cs="楷体_GB2312"/>
        </w:rPr>
      </w:pPr>
      <w:r>
        <w:rPr>
          <w:rFonts w:ascii="黑体" w:hAnsi="黑体" w:eastAsia="黑体" w:cs="楷体_GB2312"/>
        </w:rPr>
        <w:t>1</w:t>
      </w:r>
      <w:r>
        <w:rPr>
          <w:rFonts w:hint="eastAsia" w:ascii="黑体" w:hAnsi="黑体" w:eastAsia="黑体" w:cs="楷体_GB2312"/>
        </w:rPr>
        <w:t>、乙方在签订协议后，按协议约定的甲方需求，合理安排服务团队及人员按服务计划为甲方提供税务服务。</w:t>
      </w:r>
    </w:p>
    <w:p>
      <w:pPr>
        <w:pStyle w:val="50"/>
        <w:ind w:firstLine="440"/>
        <w:rPr>
          <w:rFonts w:ascii="黑体" w:hAnsi="黑体" w:eastAsia="黑体" w:cs="楷体_GB2312"/>
        </w:rPr>
      </w:pPr>
      <w:r>
        <w:rPr>
          <w:rFonts w:ascii="黑体" w:hAnsi="黑体" w:eastAsia="黑体" w:cs="楷体_GB2312"/>
        </w:rPr>
        <w:t>2</w:t>
      </w:r>
      <w:r>
        <w:rPr>
          <w:rFonts w:hint="eastAsia" w:ascii="黑体" w:hAnsi="黑体" w:eastAsia="黑体" w:cs="楷体_GB2312"/>
        </w:rPr>
        <w:t>、乙方服务人员应当依据财税法规和专业知识独立、客观、公正地提供服务，同时尽最大努力维护甲方合法利益。乙方有权拒绝甲方提出的违反法律、法规及相关政策规定的要求。</w:t>
      </w:r>
    </w:p>
    <w:p>
      <w:pPr>
        <w:pStyle w:val="50"/>
        <w:ind w:firstLine="440"/>
        <w:rPr>
          <w:rFonts w:ascii="黑体" w:hAnsi="黑体" w:eastAsia="黑体" w:cs="楷体_GB2312"/>
        </w:rPr>
      </w:pPr>
      <w:r>
        <w:rPr>
          <w:rFonts w:ascii="黑体" w:hAnsi="黑体" w:eastAsia="黑体" w:cs="楷体_GB2312"/>
        </w:rPr>
        <w:t>3</w:t>
      </w:r>
      <w:r>
        <w:rPr>
          <w:rFonts w:hint="eastAsia" w:ascii="黑体" w:hAnsi="黑体" w:eastAsia="黑体" w:cs="楷体_GB2312"/>
        </w:rPr>
        <w:t>、乙方应遵守职业道德，严守甲方生产经营及财产等商业秘密，不得向外泄露，该保密义务应当不受时间限制而持续有效。</w:t>
      </w:r>
    </w:p>
    <w:p>
      <w:pPr>
        <w:pStyle w:val="50"/>
        <w:ind w:firstLine="440"/>
        <w:rPr>
          <w:rFonts w:ascii="黑体" w:hAnsi="黑体" w:eastAsia="黑体" w:cs="楷体_GB2312"/>
        </w:rPr>
      </w:pPr>
      <w:r>
        <w:rPr>
          <w:rFonts w:ascii="黑体" w:hAnsi="黑体" w:eastAsia="黑体" w:cs="楷体_GB2312"/>
        </w:rPr>
        <w:t>4</w:t>
      </w:r>
      <w:r>
        <w:rPr>
          <w:rFonts w:hint="eastAsia" w:ascii="黑体" w:hAnsi="黑体" w:eastAsia="黑体" w:cs="楷体_GB2312"/>
        </w:rPr>
        <w:t>、乙方对本协议服务内容应当保存完整的工作记录，对涉及甲方的原始证据、相关文件资料应当妥善保管归档。</w:t>
      </w:r>
    </w:p>
    <w:p>
      <w:pPr>
        <w:pStyle w:val="50"/>
        <w:ind w:firstLine="442"/>
        <w:rPr>
          <w:rFonts w:ascii="黑体" w:hAnsi="黑体" w:eastAsia="黑体" w:cs="楷体_GB2312"/>
          <w:b/>
        </w:rPr>
      </w:pPr>
      <w:r>
        <w:rPr>
          <w:rFonts w:hint="eastAsia" w:ascii="黑体" w:hAnsi="黑体" w:eastAsia="黑体" w:cs="楷体_GB2312"/>
          <w:b/>
        </w:rPr>
        <w:t>六、咨询服务费与支付方式</w:t>
      </w:r>
    </w:p>
    <w:p>
      <w:pPr>
        <w:pStyle w:val="50"/>
        <w:ind w:firstLine="440"/>
        <w:rPr>
          <w:rFonts w:ascii="黑体" w:hAnsi="黑体" w:eastAsia="黑体" w:cs="楷体_GB2312"/>
        </w:rPr>
      </w:pPr>
      <w:r>
        <w:rPr>
          <w:rFonts w:ascii="黑体" w:hAnsi="黑体" w:eastAsia="黑体" w:cs="楷体_GB2312"/>
        </w:rPr>
        <w:t>1</w:t>
      </w:r>
      <w:r>
        <w:rPr>
          <w:rFonts w:hint="eastAsia" w:ascii="黑体" w:hAnsi="黑体" w:eastAsia="黑体" w:cs="楷体_GB2312"/>
        </w:rPr>
        <w:t>、甲方向乙方支付年税务服务费共计人民币</w:t>
      </w:r>
      <w:r>
        <w:rPr>
          <w:rFonts w:hint="eastAsia" w:ascii="黑体" w:hAnsi="黑体" w:eastAsia="黑体" w:cs="楷体_GB2312"/>
          <w:u w:val="single"/>
          <w:lang w:val="en-US" w:eastAsia="zh-CN"/>
        </w:rPr>
        <w:t>含税价</w:t>
      </w:r>
      <w:r>
        <w:rPr>
          <w:rFonts w:hint="eastAsia" w:ascii="黑体" w:hAnsi="黑体" w:eastAsia="黑体" w:cs="楷体_GB2312"/>
          <w:u w:val="single"/>
        </w:rPr>
        <w:t xml:space="preserve">   </w:t>
      </w:r>
      <w:r>
        <w:rPr>
          <w:rFonts w:hint="eastAsia" w:ascii="黑体" w:hAnsi="黑体" w:eastAsia="黑体" w:cs="楷体_GB2312"/>
          <w:u w:val="single"/>
          <w:lang w:val="en-US" w:eastAsia="zh-CN"/>
        </w:rPr>
        <w:t xml:space="preserve">   </w:t>
      </w:r>
      <w:r>
        <w:rPr>
          <w:rFonts w:hint="eastAsia" w:ascii="黑体" w:hAnsi="黑体" w:eastAsia="黑体" w:cs="楷体_GB2312"/>
          <w:u w:val="single"/>
        </w:rPr>
        <w:t xml:space="preserve"> 整（小写：￥     ）</w:t>
      </w:r>
      <w:r>
        <w:rPr>
          <w:rFonts w:hint="eastAsia" w:ascii="黑体" w:hAnsi="黑体" w:eastAsia="黑体" w:cs="楷体_GB2312"/>
          <w:u w:val="single"/>
          <w:lang w:eastAsia="zh-CN"/>
        </w:rPr>
        <w:t>，</w:t>
      </w:r>
      <w:r>
        <w:rPr>
          <w:rFonts w:hint="eastAsia" w:ascii="黑体" w:hAnsi="黑体" w:eastAsia="黑体" w:cs="楷体_GB2312"/>
          <w:u w:val="single"/>
          <w:lang w:val="en-US" w:eastAsia="zh-CN"/>
        </w:rPr>
        <w:t xml:space="preserve">不含税价        </w:t>
      </w:r>
      <w:r>
        <w:rPr>
          <w:rFonts w:hint="eastAsia" w:ascii="黑体" w:hAnsi="黑体" w:eastAsia="黑体" w:cs="楷体_GB2312"/>
          <w:u w:val="single"/>
        </w:rPr>
        <w:t>整（小写：￥     ）</w:t>
      </w:r>
      <w:r>
        <w:rPr>
          <w:rFonts w:hint="eastAsia" w:ascii="黑体" w:hAnsi="黑体" w:eastAsia="黑体" w:cs="楷体_GB2312"/>
          <w:u w:val="single"/>
          <w:lang w:eastAsia="zh-CN"/>
        </w:rPr>
        <w:t>，</w:t>
      </w:r>
      <w:r>
        <w:rPr>
          <w:rFonts w:hint="eastAsia" w:ascii="黑体" w:hAnsi="黑体" w:eastAsia="黑体" w:cs="楷体_GB2312"/>
          <w:u w:val="single"/>
          <w:lang w:val="en-US" w:eastAsia="zh-CN"/>
        </w:rPr>
        <w:t>税率     %</w:t>
      </w:r>
      <w:r>
        <w:rPr>
          <w:rFonts w:hint="eastAsia" w:ascii="黑体" w:hAnsi="黑体" w:eastAsia="黑体" w:cs="楷体_GB2312"/>
          <w:u w:val="single"/>
        </w:rPr>
        <w:t>；</w:t>
      </w:r>
    </w:p>
    <w:p>
      <w:pPr>
        <w:pStyle w:val="50"/>
        <w:ind w:firstLine="440"/>
        <w:rPr>
          <w:rFonts w:ascii="黑体" w:hAnsi="黑体" w:eastAsia="黑体" w:cs="楷体_GB2312"/>
        </w:rPr>
      </w:pPr>
      <w:r>
        <w:rPr>
          <w:rFonts w:hint="eastAsia" w:ascii="黑体" w:hAnsi="黑体" w:eastAsia="黑体" w:cs="楷体_GB2312"/>
        </w:rPr>
        <w:t>2、上述费用自本协议签订之日起</w:t>
      </w:r>
      <w:r>
        <w:rPr>
          <w:rFonts w:hint="eastAsia" w:ascii="黑体" w:hAnsi="黑体" w:eastAsia="黑体" w:cs="楷体_GB2312"/>
          <w:lang w:val="en-US" w:eastAsia="zh-CN"/>
        </w:rPr>
        <w:t>10</w:t>
      </w:r>
      <w:r>
        <w:rPr>
          <w:rFonts w:hint="eastAsia" w:ascii="黑体" w:hAnsi="黑体" w:eastAsia="黑体" w:cs="楷体_GB2312"/>
        </w:rPr>
        <w:t>日内甲方向乙方支付50%人民币（大写）    元 （¥    )。剩余部分在服务期满前7日内支付人民币（大写）     元 （¥     )。甲方支付前，乙方向甲方提供合法</w:t>
      </w:r>
      <w:r>
        <w:rPr>
          <w:rFonts w:hint="eastAsia" w:ascii="黑体" w:hAnsi="黑体" w:eastAsia="黑体" w:cs="楷体_GB2312"/>
          <w:lang w:val="en-US" w:eastAsia="zh-CN"/>
        </w:rPr>
        <w:t>等额</w:t>
      </w:r>
      <w:r>
        <w:rPr>
          <w:rFonts w:hint="eastAsia" w:ascii="黑体" w:hAnsi="黑体" w:eastAsia="黑体" w:cs="楷体_GB2312"/>
        </w:rPr>
        <w:t>的增值税</w:t>
      </w:r>
      <w:r>
        <w:rPr>
          <w:rFonts w:hint="eastAsia" w:ascii="黑体" w:hAnsi="黑体" w:eastAsia="黑体" w:cs="楷体_GB2312"/>
          <w:lang w:val="en-US" w:eastAsia="zh-CN"/>
        </w:rPr>
        <w:t>专用</w:t>
      </w:r>
      <w:r>
        <w:rPr>
          <w:rFonts w:hint="eastAsia" w:ascii="黑体" w:hAnsi="黑体" w:eastAsia="黑体" w:cs="楷体_GB2312"/>
        </w:rPr>
        <w:t>发票</w:t>
      </w:r>
      <w:r>
        <w:rPr>
          <w:rFonts w:hint="eastAsia" w:ascii="黑体" w:hAnsi="黑体" w:eastAsia="黑体" w:cs="楷体_GB2312"/>
          <w:lang w:val="en-US" w:eastAsia="zh-CN"/>
        </w:rPr>
        <w:t>。</w:t>
      </w:r>
    </w:p>
    <w:p>
      <w:pPr>
        <w:pStyle w:val="50"/>
        <w:ind w:firstLine="440"/>
        <w:rPr>
          <w:rFonts w:ascii="黑体" w:hAnsi="黑体" w:eastAsia="黑体" w:cs="楷体_GB2312"/>
        </w:rPr>
      </w:pPr>
      <w:r>
        <w:rPr>
          <w:rFonts w:hint="eastAsia" w:ascii="黑体" w:hAnsi="黑体" w:eastAsia="黑体" w:cs="楷体_GB2312"/>
        </w:rPr>
        <w:t>3、上述费用转入以下指定账户</w:t>
      </w:r>
    </w:p>
    <w:p>
      <w:pPr>
        <w:pStyle w:val="50"/>
        <w:ind w:firstLine="440"/>
        <w:rPr>
          <w:rFonts w:ascii="黑体" w:hAnsi="黑体" w:eastAsia="黑体" w:cs="楷体_GB2312"/>
        </w:rPr>
      </w:pPr>
      <w:r>
        <w:rPr>
          <w:rFonts w:hint="eastAsia" w:ascii="黑体" w:hAnsi="黑体" w:eastAsia="黑体" w:cs="楷体_GB2312"/>
        </w:rPr>
        <w:t>收款单位：</w:t>
      </w:r>
    </w:p>
    <w:p>
      <w:pPr>
        <w:pStyle w:val="50"/>
        <w:ind w:firstLine="440"/>
        <w:rPr>
          <w:rFonts w:ascii="黑体" w:hAnsi="黑体" w:eastAsia="黑体" w:cs="楷体_GB2312"/>
        </w:rPr>
      </w:pPr>
      <w:r>
        <w:rPr>
          <w:rFonts w:hint="eastAsia" w:ascii="黑体" w:hAnsi="黑体" w:eastAsia="黑体" w:cs="楷体_GB2312"/>
        </w:rPr>
        <w:t>开 户 行：</w:t>
      </w:r>
    </w:p>
    <w:p>
      <w:pPr>
        <w:pStyle w:val="50"/>
        <w:ind w:firstLine="440"/>
        <w:rPr>
          <w:rFonts w:ascii="黑体" w:hAnsi="黑体" w:eastAsia="黑体" w:cs="楷体_GB2312"/>
        </w:rPr>
      </w:pPr>
      <w:r>
        <w:rPr>
          <w:rFonts w:hint="eastAsia" w:ascii="黑体" w:hAnsi="黑体" w:eastAsia="黑体" w:cs="楷体_GB2312"/>
        </w:rPr>
        <w:t>帐    号：</w:t>
      </w:r>
    </w:p>
    <w:p>
      <w:pPr>
        <w:pStyle w:val="50"/>
        <w:ind w:firstLine="442"/>
        <w:rPr>
          <w:rFonts w:ascii="黑体" w:hAnsi="黑体" w:eastAsia="黑体" w:cs="楷体_GB2312"/>
          <w:b/>
        </w:rPr>
      </w:pPr>
      <w:r>
        <w:rPr>
          <w:rFonts w:hint="eastAsia" w:ascii="黑体" w:hAnsi="黑体" w:eastAsia="黑体" w:cs="楷体_GB2312"/>
          <w:b/>
        </w:rPr>
        <w:t>七、协议期限</w:t>
      </w:r>
    </w:p>
    <w:p>
      <w:pPr>
        <w:pStyle w:val="50"/>
        <w:ind w:firstLine="440"/>
        <w:rPr>
          <w:rFonts w:hint="eastAsia" w:ascii="黑体" w:hAnsi="黑体" w:eastAsia="黑体" w:cs="楷体_GB2312"/>
        </w:rPr>
      </w:pPr>
      <w:r>
        <w:rPr>
          <w:rFonts w:hint="eastAsia" w:ascii="黑体" w:hAnsi="黑体" w:eastAsia="黑体" w:cs="楷体_GB2312"/>
        </w:rPr>
        <w:t>本协议约定服务期限为    年    月    日至    年    月    日。本协议到期后，</w:t>
      </w:r>
      <w:r>
        <w:rPr>
          <w:rFonts w:hint="eastAsia" w:ascii="黑体" w:hAnsi="黑体" w:eastAsia="黑体" w:cs="楷体_GB2312"/>
          <w:lang w:val="en-US" w:eastAsia="zh-CN"/>
        </w:rPr>
        <w:t>乙方需由甲方进行考核，考核过关后可续签</w:t>
      </w:r>
      <w:r>
        <w:rPr>
          <w:rFonts w:hint="eastAsia" w:ascii="黑体" w:hAnsi="黑体" w:eastAsia="黑体" w:cs="楷体_GB2312"/>
        </w:rPr>
        <w:t>。</w:t>
      </w:r>
    </w:p>
    <w:p>
      <w:pPr>
        <w:pStyle w:val="50"/>
        <w:ind w:firstLine="442"/>
        <w:rPr>
          <w:rFonts w:ascii="黑体" w:hAnsi="黑体" w:eastAsia="黑体" w:cs="楷体_GB2312"/>
          <w:b/>
        </w:rPr>
      </w:pPr>
      <w:r>
        <w:rPr>
          <w:rFonts w:hint="eastAsia" w:ascii="黑体" w:hAnsi="黑体" w:eastAsia="黑体" w:cs="楷体_GB2312"/>
          <w:b/>
        </w:rPr>
        <w:t>八、违约责任</w:t>
      </w:r>
    </w:p>
    <w:p>
      <w:pPr>
        <w:pStyle w:val="50"/>
        <w:ind w:firstLine="440"/>
        <w:rPr>
          <w:rFonts w:ascii="黑体" w:hAnsi="黑体" w:eastAsia="黑体" w:cs="楷体_GB2312"/>
        </w:rPr>
      </w:pPr>
      <w:r>
        <w:rPr>
          <w:rFonts w:ascii="黑体" w:hAnsi="黑体" w:eastAsia="黑体" w:cs="楷体_GB2312"/>
        </w:rPr>
        <w:t>1</w:t>
      </w:r>
      <w:r>
        <w:rPr>
          <w:rFonts w:hint="eastAsia" w:ascii="黑体" w:hAnsi="黑体" w:eastAsia="黑体" w:cs="楷体_GB2312"/>
        </w:rPr>
        <w:t>、甲乙双方不得无故终止本协议，如甲方无故终止履行协议，乙方已收的费用不予退还，如乙方无故终止履行协议，乙方已收的费用全部退还甲方。</w:t>
      </w:r>
    </w:p>
    <w:p>
      <w:pPr>
        <w:pStyle w:val="50"/>
        <w:ind w:firstLine="440"/>
        <w:rPr>
          <w:rFonts w:ascii="黑体" w:hAnsi="黑体" w:eastAsia="黑体" w:cs="楷体_GB2312"/>
        </w:rPr>
      </w:pPr>
      <w:r>
        <w:rPr>
          <w:rFonts w:ascii="黑体" w:hAnsi="黑体" w:eastAsia="黑体" w:cs="楷体_GB2312"/>
        </w:rPr>
        <w:t>2</w:t>
      </w:r>
      <w:r>
        <w:rPr>
          <w:rFonts w:hint="eastAsia" w:ascii="黑体" w:hAnsi="黑体" w:eastAsia="黑体" w:cs="楷体_GB2312"/>
        </w:rPr>
        <w:t>、除上述违约外，任意一方有其它违约的，双方应本着“互利互让、友好协商”解决，协商不成的可向当地人民法院提起诉讼。</w:t>
      </w:r>
    </w:p>
    <w:p>
      <w:pPr>
        <w:pStyle w:val="50"/>
        <w:ind w:firstLine="442"/>
        <w:rPr>
          <w:rFonts w:ascii="黑体" w:hAnsi="黑体" w:eastAsia="黑体" w:cs="楷体_GB2312"/>
          <w:b/>
        </w:rPr>
      </w:pPr>
      <w:r>
        <w:rPr>
          <w:rFonts w:hint="eastAsia" w:ascii="黑体" w:hAnsi="黑体" w:eastAsia="黑体" w:cs="楷体_GB2312"/>
          <w:b/>
        </w:rPr>
        <w:t>九、其他事项</w:t>
      </w:r>
    </w:p>
    <w:p>
      <w:pPr>
        <w:pStyle w:val="50"/>
        <w:ind w:firstLine="440"/>
        <w:rPr>
          <w:rFonts w:ascii="黑体" w:hAnsi="黑体" w:eastAsia="黑体" w:cs="楷体_GB2312"/>
        </w:rPr>
      </w:pPr>
      <w:r>
        <w:rPr>
          <w:rFonts w:ascii="黑体" w:hAnsi="黑体" w:eastAsia="黑体" w:cs="楷体_GB2312"/>
        </w:rPr>
        <w:t>1</w:t>
      </w:r>
      <w:r>
        <w:rPr>
          <w:rFonts w:hint="eastAsia" w:ascii="黑体" w:hAnsi="黑体" w:eastAsia="黑体" w:cs="楷体_GB2312"/>
        </w:rPr>
        <w:t>、双方未尽事宜另签补充协议，补充协议与本协议具有同等法律效力。</w:t>
      </w:r>
    </w:p>
    <w:p>
      <w:pPr>
        <w:pStyle w:val="50"/>
        <w:ind w:firstLine="440"/>
        <w:rPr>
          <w:rFonts w:ascii="黑体" w:hAnsi="黑体" w:eastAsia="黑体" w:cs="楷体_GB2312"/>
        </w:rPr>
      </w:pPr>
      <w:r>
        <w:rPr>
          <w:rFonts w:ascii="黑体" w:hAnsi="黑体" w:eastAsia="黑体" w:cs="楷体_GB2312"/>
        </w:rPr>
        <w:t>2</w:t>
      </w:r>
      <w:r>
        <w:rPr>
          <w:rFonts w:hint="eastAsia" w:ascii="黑体" w:hAnsi="黑体" w:eastAsia="黑体" w:cs="楷体_GB2312"/>
        </w:rPr>
        <w:t>、乙方可在业务宣传资料中提及甲方的名称及相关服务类别，但不得涉及双方已约定的保密事项及业务。</w:t>
      </w:r>
    </w:p>
    <w:p>
      <w:pPr>
        <w:pStyle w:val="50"/>
        <w:ind w:firstLine="440"/>
        <w:rPr>
          <w:rFonts w:ascii="黑体" w:hAnsi="黑体" w:eastAsia="黑体" w:cs="楷体_GB2312"/>
        </w:rPr>
      </w:pPr>
      <w:r>
        <w:rPr>
          <w:rFonts w:ascii="黑体" w:hAnsi="黑体" w:eastAsia="黑体" w:cs="楷体_GB2312"/>
        </w:rPr>
        <w:t>3</w:t>
      </w:r>
      <w:r>
        <w:rPr>
          <w:rFonts w:hint="eastAsia" w:ascii="黑体" w:hAnsi="黑体" w:eastAsia="黑体" w:cs="楷体_GB2312"/>
        </w:rPr>
        <w:t>、本合同一式</w:t>
      </w:r>
      <w:r>
        <w:rPr>
          <w:rFonts w:hint="eastAsia" w:ascii="黑体" w:hAnsi="黑体" w:eastAsia="黑体" w:cs="楷体_GB2312"/>
          <w:lang w:val="en-US" w:eastAsia="zh-CN"/>
        </w:rPr>
        <w:t>陆</w:t>
      </w:r>
      <w:r>
        <w:rPr>
          <w:rFonts w:hint="eastAsia" w:ascii="黑体" w:hAnsi="黑体" w:eastAsia="黑体" w:cs="楷体_GB2312"/>
        </w:rPr>
        <w:t>份，甲、乙双方各执</w:t>
      </w:r>
      <w:r>
        <w:rPr>
          <w:rFonts w:hint="eastAsia" w:ascii="黑体" w:hAnsi="黑体" w:eastAsia="黑体" w:cs="楷体_GB2312"/>
          <w:lang w:val="en-US" w:eastAsia="zh-CN"/>
        </w:rPr>
        <w:t>叁</w:t>
      </w:r>
      <w:r>
        <w:rPr>
          <w:rFonts w:hint="eastAsia" w:ascii="黑体" w:hAnsi="黑体" w:eastAsia="黑体" w:cs="楷体_GB2312"/>
        </w:rPr>
        <w:t>份，具有同等法律效力。</w:t>
      </w:r>
    </w:p>
    <w:p>
      <w:pPr>
        <w:pStyle w:val="50"/>
        <w:ind w:firstLine="440"/>
        <w:rPr>
          <w:rFonts w:ascii="黑体" w:hAnsi="黑体" w:eastAsia="黑体" w:cs="楷体_GB2312"/>
        </w:rPr>
      </w:pPr>
      <w:r>
        <w:rPr>
          <w:rFonts w:ascii="黑体" w:hAnsi="黑体" w:eastAsia="黑体" w:cs="楷体_GB2312"/>
        </w:rPr>
        <w:t>4</w:t>
      </w:r>
      <w:r>
        <w:rPr>
          <w:rFonts w:hint="eastAsia" w:ascii="黑体" w:hAnsi="黑体" w:eastAsia="黑体" w:cs="楷体_GB2312"/>
        </w:rPr>
        <w:t>、本合同自甲乙双方签字、盖章后生效，双方签署时间不一致的以甲方签约时间为准。</w:t>
      </w:r>
    </w:p>
    <w:p>
      <w:pPr>
        <w:pStyle w:val="50"/>
        <w:ind w:firstLine="440"/>
        <w:rPr>
          <w:rFonts w:ascii="黑体" w:hAnsi="黑体" w:eastAsia="黑体" w:cs="楷体_GB2312"/>
        </w:rPr>
      </w:pPr>
    </w:p>
    <w:p>
      <w:pPr>
        <w:pStyle w:val="50"/>
        <w:ind w:firstLine="440"/>
        <w:rPr>
          <w:rFonts w:ascii="黑体" w:hAnsi="黑体" w:eastAsia="黑体" w:cs="楷体_GB2312"/>
        </w:rPr>
      </w:pPr>
    </w:p>
    <w:p>
      <w:pPr>
        <w:pStyle w:val="50"/>
        <w:ind w:firstLine="440"/>
        <w:rPr>
          <w:rFonts w:ascii="黑体" w:hAnsi="黑体" w:eastAsia="黑体" w:cs="楷体_GB2312"/>
        </w:rPr>
      </w:pPr>
    </w:p>
    <w:p>
      <w:pPr>
        <w:pStyle w:val="50"/>
        <w:ind w:firstLine="440"/>
        <w:rPr>
          <w:rFonts w:ascii="黑体" w:hAnsi="黑体" w:eastAsia="黑体" w:cs="楷体_GB2312"/>
        </w:rPr>
      </w:pPr>
    </w:p>
    <w:p>
      <w:pPr>
        <w:pStyle w:val="50"/>
        <w:ind w:firstLine="440"/>
        <w:rPr>
          <w:rFonts w:ascii="黑体" w:hAnsi="黑体" w:eastAsia="黑体" w:cs="楷体_GB2312"/>
        </w:rPr>
      </w:pPr>
      <w:r>
        <w:rPr>
          <w:rFonts w:hint="eastAsia" w:ascii="黑体" w:hAnsi="黑体" w:eastAsia="黑体" w:cs="楷体_GB2312"/>
        </w:rPr>
        <w:t>甲方：（公章）                         乙方：(公章)</w:t>
      </w:r>
    </w:p>
    <w:p>
      <w:pPr>
        <w:pStyle w:val="50"/>
        <w:ind w:firstLine="440"/>
        <w:rPr>
          <w:rFonts w:ascii="黑体" w:hAnsi="黑体" w:eastAsia="黑体" w:cs="楷体_GB2312"/>
        </w:rPr>
      </w:pPr>
      <w:r>
        <w:rPr>
          <w:rFonts w:hint="eastAsia" w:ascii="黑体" w:hAnsi="黑体" w:eastAsia="黑体" w:cs="楷体_GB2312"/>
        </w:rPr>
        <w:t>签约代表：　　　　　　　　　　　　　　签约代表：　（签字）</w:t>
      </w:r>
    </w:p>
    <w:p>
      <w:pPr>
        <w:pStyle w:val="50"/>
        <w:ind w:firstLine="440"/>
        <w:rPr>
          <w:rFonts w:ascii="黑体" w:hAnsi="黑体" w:eastAsia="黑体" w:cs="楷体_GB2312"/>
        </w:rPr>
      </w:pPr>
    </w:p>
    <w:p>
      <w:pPr>
        <w:ind w:firstLine="440" w:firstLineChars="200"/>
        <w:rPr>
          <w:rFonts w:ascii="黑体" w:hAnsi="黑体" w:eastAsia="黑体"/>
        </w:rPr>
      </w:pPr>
      <w:r>
        <w:rPr>
          <w:rFonts w:hint="eastAsia" w:ascii="黑体" w:hAnsi="黑体" w:eastAsia="黑体" w:cs="楷体_GB2312"/>
        </w:rPr>
        <w:t>签署日期：                            签约地</w:t>
      </w:r>
      <w:r>
        <w:rPr>
          <w:rFonts w:hint="eastAsia" w:ascii="黑体" w:hAnsi="黑体" w:eastAsia="黑体"/>
        </w:rPr>
        <w:t>址：</w:t>
      </w:r>
    </w:p>
    <w:p>
      <w:pPr>
        <w:ind w:firstLine="440" w:firstLineChars="200"/>
        <w:rPr>
          <w:rFonts w:ascii="黑体" w:hAnsi="黑体" w:eastAsia="黑体" w:cs="楷体_GB2312"/>
        </w:rPr>
      </w:pPr>
    </w:p>
    <w:p>
      <w:pPr>
        <w:spacing w:after="0" w:line="500" w:lineRule="exact"/>
        <w:jc w:val="both"/>
        <w:rPr>
          <w:rFonts w:ascii="仿宋_GB2312" w:hAnsi="仿宋_GB2312" w:eastAsia="仿宋_GB2312" w:cs="仿宋_GB2312"/>
          <w:b/>
          <w:sz w:val="36"/>
        </w:rPr>
      </w:pPr>
    </w:p>
    <w:p>
      <w:pPr>
        <w:spacing w:after="0" w:line="500" w:lineRule="exact"/>
        <w:jc w:val="center"/>
        <w:rPr>
          <w:rFonts w:ascii="仿宋_GB2312" w:hAnsi="仿宋_GB2312" w:eastAsia="仿宋_GB2312" w:cs="仿宋_GB2312"/>
          <w:b/>
          <w:sz w:val="36"/>
        </w:rPr>
      </w:pPr>
      <w:r>
        <w:rPr>
          <w:rFonts w:hint="eastAsia" w:ascii="仿宋_GB2312" w:hAnsi="仿宋_GB2312" w:eastAsia="仿宋_GB2312" w:cs="仿宋_GB2312"/>
          <w:b/>
          <w:sz w:val="36"/>
        </w:rPr>
        <w:t>保</w:t>
      </w:r>
      <w:r>
        <w:rPr>
          <w:rFonts w:ascii="仿宋_GB2312" w:hAnsi="仿宋_GB2312" w:eastAsia="仿宋_GB2312" w:cs="仿宋_GB2312"/>
          <w:b/>
          <w:sz w:val="36"/>
        </w:rPr>
        <w:t xml:space="preserve"> </w:t>
      </w:r>
      <w:r>
        <w:rPr>
          <w:rFonts w:hint="eastAsia" w:ascii="仿宋_GB2312" w:hAnsi="仿宋_GB2312" w:eastAsia="仿宋_GB2312" w:cs="仿宋_GB2312"/>
          <w:b/>
          <w:sz w:val="36"/>
        </w:rPr>
        <w:t>密</w:t>
      </w:r>
      <w:r>
        <w:rPr>
          <w:rFonts w:ascii="仿宋_GB2312" w:hAnsi="仿宋_GB2312" w:eastAsia="仿宋_GB2312" w:cs="仿宋_GB2312"/>
          <w:b/>
          <w:sz w:val="36"/>
        </w:rPr>
        <w:t xml:space="preserve"> </w:t>
      </w:r>
      <w:r>
        <w:rPr>
          <w:rFonts w:hint="eastAsia" w:ascii="仿宋_GB2312" w:hAnsi="仿宋_GB2312" w:eastAsia="仿宋_GB2312" w:cs="仿宋_GB2312"/>
          <w:b/>
          <w:sz w:val="36"/>
        </w:rPr>
        <w:t>协</w:t>
      </w:r>
      <w:r>
        <w:rPr>
          <w:rFonts w:ascii="仿宋_GB2312" w:hAnsi="仿宋_GB2312" w:eastAsia="仿宋_GB2312" w:cs="仿宋_GB2312"/>
          <w:b/>
          <w:sz w:val="36"/>
        </w:rPr>
        <w:t xml:space="preserve"> </w:t>
      </w:r>
      <w:r>
        <w:rPr>
          <w:rFonts w:hint="eastAsia" w:ascii="仿宋_GB2312" w:hAnsi="仿宋_GB2312" w:eastAsia="仿宋_GB2312" w:cs="仿宋_GB2312"/>
          <w:b/>
          <w:sz w:val="36"/>
        </w:rPr>
        <w:t>议</w:t>
      </w:r>
    </w:p>
    <w:p>
      <w:pPr>
        <w:spacing w:after="0" w:line="500" w:lineRule="exact"/>
        <w:rPr>
          <w:rFonts w:ascii="仿宋_GB2312" w:hAnsi="仿宋_GB2312" w:eastAsia="仿宋_GB2312" w:cs="仿宋_GB2312"/>
          <w:sz w:val="28"/>
          <w:szCs w:val="28"/>
        </w:rPr>
      </w:pPr>
      <w:r>
        <w:rPr>
          <w:rFonts w:hint="eastAsia" w:ascii="仿宋_GB2312" w:hAnsi="仿宋_GB2312" w:eastAsia="仿宋_GB2312" w:cs="仿宋_GB2312"/>
          <w:b/>
          <w:bCs/>
          <w:sz w:val="28"/>
          <w:szCs w:val="28"/>
        </w:rPr>
        <w:t>甲方</w:t>
      </w:r>
      <w:r>
        <w:rPr>
          <w:rFonts w:hint="eastAsia" w:ascii="仿宋_GB2312" w:hAnsi="仿宋_GB2312" w:eastAsia="仿宋_GB2312" w:cs="仿宋_GB2312"/>
          <w:sz w:val="28"/>
          <w:szCs w:val="28"/>
        </w:rPr>
        <w:t>：四川蜀道铁路运营管理集团有限责任公司</w:t>
      </w:r>
    </w:p>
    <w:p>
      <w:pPr>
        <w:spacing w:after="0" w:line="500" w:lineRule="exact"/>
        <w:rPr>
          <w:rFonts w:ascii="仿宋_GB2312" w:hAnsi="仿宋_GB2312" w:eastAsia="仿宋_GB2312" w:cs="仿宋_GB2312"/>
          <w:sz w:val="28"/>
          <w:szCs w:val="28"/>
        </w:rPr>
      </w:pPr>
      <w:r>
        <w:rPr>
          <w:rFonts w:hint="eastAsia" w:ascii="仿宋_GB2312" w:hAnsi="仿宋_GB2312" w:eastAsia="仿宋_GB2312" w:cs="仿宋_GB2312"/>
          <w:b/>
          <w:bCs/>
          <w:sz w:val="28"/>
          <w:szCs w:val="28"/>
        </w:rPr>
        <w:t>法定代表人</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 xml:space="preserve"> </w:t>
      </w:r>
    </w:p>
    <w:p>
      <w:pPr>
        <w:spacing w:after="0" w:line="500" w:lineRule="exact"/>
        <w:rPr>
          <w:rFonts w:ascii="仿宋_GB2312" w:hAnsi="仿宋_GB2312" w:eastAsia="仿宋_GB2312" w:cs="仿宋_GB2312"/>
          <w:b/>
          <w:bCs/>
          <w:sz w:val="28"/>
          <w:szCs w:val="28"/>
        </w:rPr>
      </w:pPr>
    </w:p>
    <w:p>
      <w:pPr>
        <w:spacing w:after="0" w:line="500" w:lineRule="exact"/>
        <w:rPr>
          <w:rFonts w:ascii="仿宋_GB2312" w:hAnsi="仿宋_GB2312" w:eastAsia="仿宋_GB2312" w:cs="仿宋_GB2312"/>
          <w:sz w:val="28"/>
          <w:szCs w:val="28"/>
        </w:rPr>
      </w:pPr>
      <w:r>
        <w:rPr>
          <w:rFonts w:hint="eastAsia" w:ascii="仿宋_GB2312" w:hAnsi="仿宋_GB2312" w:eastAsia="仿宋_GB2312" w:cs="仿宋_GB2312"/>
          <w:b/>
          <w:bCs/>
          <w:sz w:val="28"/>
          <w:szCs w:val="28"/>
        </w:rPr>
        <w:t>乙方</w:t>
      </w:r>
      <w:r>
        <w:rPr>
          <w:rFonts w:hint="eastAsia" w:ascii="仿宋_GB2312" w:hAnsi="仿宋_GB2312" w:eastAsia="仿宋_GB2312" w:cs="仿宋_GB2312"/>
          <w:sz w:val="28"/>
          <w:szCs w:val="28"/>
        </w:rPr>
        <w:t>：</w:t>
      </w:r>
    </w:p>
    <w:p>
      <w:pPr>
        <w:spacing w:after="0" w:line="500" w:lineRule="exact"/>
        <w:rPr>
          <w:rFonts w:ascii="仿宋_GB2312" w:hAnsi="仿宋_GB2312" w:eastAsia="仿宋_GB2312" w:cs="仿宋_GB2312"/>
          <w:sz w:val="28"/>
          <w:szCs w:val="28"/>
        </w:rPr>
      </w:pPr>
      <w:r>
        <w:rPr>
          <w:rFonts w:hint="eastAsia" w:ascii="仿宋_GB2312" w:hAnsi="仿宋_GB2312" w:eastAsia="仿宋_GB2312" w:cs="仿宋_GB2312"/>
          <w:b/>
          <w:bCs/>
          <w:sz w:val="28"/>
          <w:szCs w:val="28"/>
        </w:rPr>
        <w:t>法定代表人</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 xml:space="preserve"> </w:t>
      </w:r>
    </w:p>
    <w:p>
      <w:pPr>
        <w:spacing w:after="0" w:line="500" w:lineRule="exact"/>
        <w:rPr>
          <w:rFonts w:ascii="仿宋_GB2312" w:hAnsi="仿宋_GB2312" w:eastAsia="仿宋_GB2312" w:cs="仿宋_GB2312"/>
          <w:sz w:val="28"/>
          <w:szCs w:val="28"/>
        </w:rPr>
      </w:pPr>
    </w:p>
    <w:p>
      <w:pPr>
        <w:spacing w:after="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w:t>
      </w:r>
    </w:p>
    <w:p>
      <w:pPr>
        <w:spacing w:after="0"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1、甲方因日常经营管理需要，聘请乙方为甲方提供</w:t>
      </w:r>
      <w:r>
        <w:rPr>
          <w:rFonts w:hint="eastAsia" w:ascii="仿宋_GB2312" w:hAnsi="仿宋_GB2312" w:eastAsia="仿宋_GB2312" w:cs="仿宋_GB2312"/>
          <w:sz w:val="28"/>
          <w:szCs w:val="28"/>
        </w:rPr>
        <w:t>税务</w:t>
      </w:r>
      <w:r>
        <w:rPr>
          <w:rFonts w:ascii="仿宋_GB2312" w:hAnsi="仿宋_GB2312" w:eastAsia="仿宋_GB2312" w:cs="仿宋_GB2312"/>
          <w:sz w:val="28"/>
          <w:szCs w:val="28"/>
        </w:rPr>
        <w:t>顾问服务，并与乙方签署常年</w:t>
      </w:r>
      <w:r>
        <w:rPr>
          <w:rFonts w:hint="eastAsia" w:ascii="仿宋_GB2312" w:hAnsi="仿宋_GB2312" w:eastAsia="仿宋_GB2312" w:cs="仿宋_GB2312"/>
          <w:sz w:val="28"/>
          <w:szCs w:val="28"/>
        </w:rPr>
        <w:t>税务</w:t>
      </w:r>
      <w:r>
        <w:rPr>
          <w:rFonts w:ascii="仿宋_GB2312" w:hAnsi="仿宋_GB2312" w:eastAsia="仿宋_GB2312" w:cs="仿宋_GB2312"/>
          <w:sz w:val="28"/>
          <w:szCs w:val="28"/>
        </w:rPr>
        <w:t>顾问服务合同（以下简称“顾问合同”），而在合作过程中乙方将可能会知悉甲方及甲方下属公司的各项信息和商业秘密；</w:t>
      </w:r>
    </w:p>
    <w:p>
      <w:pPr>
        <w:spacing w:after="0"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2、甲方要求乙方对在此次常年</w:t>
      </w:r>
      <w:r>
        <w:rPr>
          <w:rFonts w:hint="eastAsia" w:ascii="仿宋_GB2312" w:hAnsi="仿宋_GB2312" w:eastAsia="仿宋_GB2312" w:cs="仿宋_GB2312"/>
          <w:sz w:val="28"/>
          <w:szCs w:val="28"/>
        </w:rPr>
        <w:t>税务</w:t>
      </w:r>
      <w:r>
        <w:rPr>
          <w:rFonts w:ascii="仿宋_GB2312" w:hAnsi="仿宋_GB2312" w:eastAsia="仿宋_GB2312" w:cs="仿宋_GB2312"/>
          <w:sz w:val="28"/>
          <w:szCs w:val="28"/>
        </w:rPr>
        <w:t>顾问服务过程中所知悉的各项信息或商业秘密承担保密义务。</w:t>
      </w:r>
    </w:p>
    <w:p>
      <w:pPr>
        <w:spacing w:after="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现为了明确乙方的保密义务，甲、乙双方本着平等、自愿、公平和诚实信用的原则，依据有关法律法规，订立本保密协议。</w:t>
      </w:r>
    </w:p>
    <w:p>
      <w:pPr>
        <w:spacing w:after="0" w:line="5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一、保密范围</w:t>
      </w:r>
    </w:p>
    <w:p>
      <w:pPr>
        <w:spacing w:after="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甲、乙双方在就提供税务</w:t>
      </w:r>
      <w:r>
        <w:rPr>
          <w:rFonts w:ascii="仿宋_GB2312" w:hAnsi="仿宋_GB2312" w:eastAsia="仿宋_GB2312" w:cs="仿宋_GB2312"/>
          <w:sz w:val="28"/>
          <w:szCs w:val="28"/>
        </w:rPr>
        <w:t>顾问</w:t>
      </w:r>
      <w:r>
        <w:rPr>
          <w:rFonts w:hint="eastAsia" w:ascii="仿宋_GB2312" w:hAnsi="仿宋_GB2312" w:eastAsia="仿宋_GB2312" w:cs="仿宋_GB2312"/>
          <w:sz w:val="28"/>
          <w:szCs w:val="28"/>
        </w:rPr>
        <w:t>服务项目建立一切经济或法律关系，包括但不限于顾问、咨询、代理、专项等合作关系（简称双方合作）的过程中以及建立关系之后，乙方应对其在上述关系中所知晓的甲方的各项信息和商业秘密承担保密责任。</w:t>
      </w:r>
    </w:p>
    <w:p>
      <w:pPr>
        <w:spacing w:after="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二、保密内容</w:t>
      </w:r>
    </w:p>
    <w:p>
      <w:pPr>
        <w:spacing w:after="0" w:line="50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sz w:val="28"/>
          <w:szCs w:val="28"/>
        </w:rPr>
        <w:t>1、乙方应承担保密责任的甲方的信息和商业秘密包括但不限于以下内容：</w:t>
      </w:r>
    </w:p>
    <w:p>
      <w:pPr>
        <w:spacing w:after="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1）甲方商业秘密，即不为公众所知悉、能为甲方带来经济利益，具有实用性并经甲方采取保密措施的技术信息和经营信息。</w:t>
      </w:r>
    </w:p>
    <w:p>
      <w:pPr>
        <w:spacing w:after="0" w:line="50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2）虽不符合商业秘密构成要件，但是甲方明确提出保密要求的资料或者信息。</w:t>
      </w:r>
    </w:p>
    <w:p>
      <w:pPr>
        <w:spacing w:after="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3）与甲方有合作关系且甲方应承担保密义务的其他单位或个人的商业秘密。</w:t>
      </w:r>
    </w:p>
    <w:p>
      <w:pPr>
        <w:spacing w:after="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4）其他经甲方采取保密措施的商业秘密。</w:t>
      </w:r>
    </w:p>
    <w:p>
      <w:pPr>
        <w:spacing w:after="0"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2、以下信息不属于保密资料：</w:t>
      </w:r>
    </w:p>
    <w:p>
      <w:pPr>
        <w:spacing w:after="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1）乙方已经或将要从公开渠道获得的且已公开的与甲方有关的信息；</w:t>
      </w:r>
    </w:p>
    <w:p>
      <w:pPr>
        <w:spacing w:after="0" w:line="50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2）从第三方获得的信息，且乙方有理由相信该第三方对该等信息的拥有不是由于违反了其对其他方的保密义务的结果。</w:t>
      </w:r>
    </w:p>
    <w:p>
      <w:pPr>
        <w:spacing w:after="0" w:line="5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三、乙方保密义务</w:t>
      </w:r>
    </w:p>
    <w:p>
      <w:pPr>
        <w:spacing w:after="0"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1、不得将甲方的商业秘密用于双方合作事宜或双方未来书面协议规定之外的任何其他目的。</w:t>
      </w:r>
    </w:p>
    <w:p>
      <w:pPr>
        <w:spacing w:after="0"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2、不得向甲方公司内部不承担保密义务的任何第三人披露甲方的商业秘密。</w:t>
      </w:r>
    </w:p>
    <w:p>
      <w:pPr>
        <w:spacing w:after="0"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不得向甲方以外的其他单位或者个人披露、允许（出借、赠与、出租、转让等处分甲方商业秘密的行为皆属于“允许”）或协助其使用甲方的商业秘密也不得以任何方式在任何场所将甲方商业秘密予以公开或公布。</w:t>
      </w:r>
    </w:p>
    <w:p>
      <w:pPr>
        <w:spacing w:after="0"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4、甲方印发的有关文字资料、图纸、报表、数字等等，乙方未经甲方批准均不得向他人提供。</w:t>
      </w:r>
    </w:p>
    <w:p>
      <w:pPr>
        <w:spacing w:after="0"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5、如发现商业秘密被泄露或者自己过失泄露商业秘密，应当采取有效措施防止泄密进一步扩大，并及时向甲方报告。</w:t>
      </w:r>
    </w:p>
    <w:p>
      <w:pPr>
        <w:spacing w:after="0" w:line="500" w:lineRule="exact"/>
        <w:ind w:firstLine="560" w:firstLineChars="200"/>
        <w:rPr>
          <w:rFonts w:ascii="仿宋_GB2312" w:hAnsi="仿宋_GB2312" w:eastAsia="仿宋_GB2312" w:cs="仿宋_GB2312"/>
          <w:b/>
          <w:bCs/>
          <w:sz w:val="28"/>
          <w:szCs w:val="28"/>
        </w:rPr>
      </w:pPr>
      <w:r>
        <w:rPr>
          <w:rFonts w:ascii="仿宋_GB2312" w:hAnsi="仿宋_GB2312" w:eastAsia="仿宋_GB2312" w:cs="仿宋_GB2312"/>
          <w:sz w:val="28"/>
          <w:szCs w:val="28"/>
        </w:rPr>
        <w:t>6、若有权机关，如司法、行政机关，要求乙方披露保密资料，乙方将立即通知甲方此类要求；若乙方按上述要求必须提供保密资料，乙方将配合甲方采取合法及合理的措施，力求所提供的保密资料能得到保密的待遇。</w:t>
      </w:r>
    </w:p>
    <w:p>
      <w:pPr>
        <w:spacing w:after="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四、保密期限：自本协议签订之日起至顾问合同履行完毕后五年内，乙方仍应承担保密义务。</w:t>
      </w:r>
    </w:p>
    <w:p>
      <w:pPr>
        <w:spacing w:after="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五、甲方有权基于自身的判断决定是否为乙方提供商业秘密以及提供何种商业秘密，甲方无义务保证其提供商业秘密的正确性、可靠性、新颖性、完整性等，但甲方应保证其合法性。</w:t>
      </w:r>
      <w:r>
        <w:rPr>
          <w:rFonts w:ascii="仿宋_GB2312" w:hAnsi="仿宋_GB2312" w:eastAsia="仿宋_GB2312" w:cs="仿宋_GB2312"/>
          <w:sz w:val="28"/>
          <w:szCs w:val="28"/>
        </w:rPr>
        <w:t xml:space="preserve">                             </w:t>
      </w:r>
    </w:p>
    <w:p>
      <w:pPr>
        <w:spacing w:after="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六、乙方违反本协议约定，造成甲方实际经济损失的，甲方有权向乙方追偿。</w:t>
      </w:r>
    </w:p>
    <w:p>
      <w:pPr>
        <w:spacing w:after="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七、甲、乙双方因履行本协议而发生的任何争议，由双方协商解决，协商不成，双方均可向甲方所在地人民法院提起诉讼。</w:t>
      </w:r>
    </w:p>
    <w:p>
      <w:pPr>
        <w:spacing w:after="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八、本协议一式贰份，甲乙双方各执壹份，经双方签字盖章后生效。</w:t>
      </w:r>
    </w:p>
    <w:p>
      <w:pPr>
        <w:pStyle w:val="11"/>
        <w:ind w:left="440" w:firstLine="617"/>
        <w:rPr>
          <w:rFonts w:ascii="仿宋_GB2312" w:hAnsi="仿宋_GB2312" w:eastAsia="仿宋_GB2312" w:cs="仿宋_GB2312"/>
          <w:b/>
          <w:szCs w:val="28"/>
        </w:rPr>
      </w:pPr>
    </w:p>
    <w:p>
      <w:pPr>
        <w:spacing w:line="480" w:lineRule="auto"/>
        <w:rPr>
          <w:rFonts w:ascii="仿宋_GB2312" w:hAnsi="仿宋_GB2312" w:eastAsia="仿宋_GB2312" w:cs="仿宋_GB2312"/>
          <w:sz w:val="28"/>
          <w:szCs w:val="28"/>
        </w:rPr>
      </w:pPr>
    </w:p>
    <w:p>
      <w:pPr>
        <w:spacing w:line="48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甲方：</w:t>
      </w:r>
      <w:r>
        <w:rPr>
          <w:rFonts w:ascii="仿宋_GB2312" w:hAnsi="仿宋_GB2312" w:eastAsia="仿宋_GB2312" w:cs="仿宋_GB2312"/>
          <w:b/>
          <w:bCs/>
          <w:sz w:val="28"/>
          <w:szCs w:val="28"/>
        </w:rPr>
        <w:t xml:space="preserve">                             乙方：</w:t>
      </w:r>
    </w:p>
    <w:p>
      <w:pPr>
        <w:spacing w:line="48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法定代表人或授权代表：</w:t>
      </w:r>
      <w:r>
        <w:rPr>
          <w:rFonts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rPr>
        <w:t>法定代表人或授权代表：</w:t>
      </w:r>
    </w:p>
    <w:p>
      <w:pPr>
        <w:spacing w:line="480" w:lineRule="auto"/>
        <w:ind w:firstLine="1920"/>
        <w:rPr>
          <w:rFonts w:ascii="仿宋_GB2312" w:hAnsi="仿宋_GB2312" w:eastAsia="仿宋_GB2312" w:cs="仿宋_GB2312"/>
          <w:b/>
          <w:bCs/>
          <w:sz w:val="28"/>
          <w:szCs w:val="28"/>
        </w:rPr>
      </w:pPr>
      <w:r>
        <w:rPr>
          <w:rFonts w:ascii="仿宋_GB2312" w:hAnsi="仿宋_GB2312" w:eastAsia="仿宋_GB2312" w:cs="仿宋_GB2312"/>
          <w:b/>
          <w:bCs/>
          <w:sz w:val="28"/>
          <w:szCs w:val="28"/>
        </w:rPr>
        <w:t xml:space="preserve">     </w:t>
      </w:r>
    </w:p>
    <w:p>
      <w:pPr>
        <w:pStyle w:val="2"/>
        <w:spacing w:line="520" w:lineRule="exact"/>
        <w:ind w:left="0" w:leftChars="0" w:firstLine="0" w:firstLineChars="0"/>
        <w:jc w:val="right"/>
        <w:rPr>
          <w:rFonts w:ascii="仿宋_GB2312" w:hAnsi="仿宋_GB2312" w:eastAsia="仿宋_GB2312" w:cs="仿宋_GB2312"/>
          <w:kern w:val="0"/>
          <w:sz w:val="28"/>
          <w:szCs w:val="28"/>
        </w:rPr>
      </w:pPr>
      <w:r>
        <w:rPr>
          <w:rFonts w:ascii="仿宋_GB2312" w:hAnsi="仿宋_GB2312" w:eastAsia="仿宋_GB2312" w:cs="仿宋_GB2312"/>
          <w:b/>
          <w:bCs/>
          <w:sz w:val="28"/>
          <w:szCs w:val="28"/>
        </w:rPr>
        <w:t xml:space="preserve"> 年    月   日</w:t>
      </w:r>
    </w:p>
    <w:sectPr>
      <w:footerReference r:id="rId6" w:type="first"/>
      <w:footerReference r:id="rId5" w:type="default"/>
      <w:pgSz w:w="11906" w:h="16838"/>
      <w:pgMar w:top="2098" w:right="1474" w:bottom="1984" w:left="1587" w:header="851" w:footer="992"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
    <w:altName w:val="Segoe Print"/>
    <w:panose1 w:val="00000000000000000000"/>
    <w:charset w:val="00"/>
    <w:family w:val="auto"/>
    <w:pitch w:val="default"/>
    <w:sig w:usb0="00000000" w:usb1="00000000" w:usb2="00000000" w:usb3="00000000" w:csb0="00000001" w:csb1="00000000"/>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7906311"/>
    </w:sdtPr>
    <w:sdtContent>
      <w:p>
        <w:pPr>
          <w:pStyle w:val="13"/>
          <w:jc w:val="center"/>
        </w:pPr>
        <w:r>
          <w:fldChar w:fldCharType="begin"/>
        </w:r>
        <w:r>
          <w:instrText xml:space="preserve">PAGE   \* MERGEFORMAT</w:instrText>
        </w:r>
        <w:r>
          <w:fldChar w:fldCharType="separate"/>
        </w:r>
        <w:r>
          <w:rPr>
            <w:lang w:val="zh-CN"/>
          </w:rPr>
          <w:t>4</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1236274"/>
    </w:sdtPr>
    <w:sdtContent>
      <w:p>
        <w:pPr>
          <w:pStyle w:val="13"/>
          <w:jc w:val="center"/>
        </w:pPr>
        <w:r>
          <w:fldChar w:fldCharType="begin"/>
        </w:r>
        <w:r>
          <w:instrText xml:space="preserve">PAGE   \* MERGEFORMAT</w:instrText>
        </w:r>
        <w:r>
          <w:fldChar w:fldCharType="separate"/>
        </w:r>
        <w:r>
          <w:rPr>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95DE3"/>
    <w:multiLevelType w:val="singleLevel"/>
    <w:tmpl w:val="B7995DE3"/>
    <w:lvl w:ilvl="0" w:tentative="0">
      <w:start w:val="1"/>
      <w:numFmt w:val="chineseCounting"/>
      <w:suff w:val="nothing"/>
      <w:lvlText w:val="（%1）"/>
      <w:lvlJc w:val="left"/>
      <w:rPr>
        <w:rFonts w:hint="eastAsia"/>
      </w:rPr>
    </w:lvl>
  </w:abstractNum>
  <w:abstractNum w:abstractNumId="1">
    <w:nsid w:val="F7533932"/>
    <w:multiLevelType w:val="singleLevel"/>
    <w:tmpl w:val="F7533932"/>
    <w:lvl w:ilvl="0" w:tentative="0">
      <w:start w:val="1"/>
      <w:numFmt w:val="chineseCounting"/>
      <w:suff w:val="nothing"/>
      <w:lvlText w:val="%1、"/>
      <w:lvlJc w:val="left"/>
      <w:rPr>
        <w:rFonts w:hint="eastAsia"/>
        <w:b/>
        <w:bCs/>
      </w:rPr>
    </w:lvl>
  </w:abstractNum>
  <w:abstractNum w:abstractNumId="2">
    <w:nsid w:val="10314634"/>
    <w:multiLevelType w:val="singleLevel"/>
    <w:tmpl w:val="10314634"/>
    <w:lvl w:ilvl="0" w:tentative="0">
      <w:start w:val="1"/>
      <w:numFmt w:val="chineseCounting"/>
      <w:suff w:val="nothing"/>
      <w:lvlText w:val="%1、"/>
      <w:lvlJc w:val="left"/>
      <w:rPr>
        <w:rFonts w:hint="eastAsia"/>
        <w:b/>
        <w:bCs/>
      </w:rPr>
    </w:lvl>
  </w:abstractNum>
  <w:abstractNum w:abstractNumId="3">
    <w:nsid w:val="19D3F470"/>
    <w:multiLevelType w:val="singleLevel"/>
    <w:tmpl w:val="19D3F470"/>
    <w:lvl w:ilvl="0" w:tentative="0">
      <w:start w:val="1"/>
      <w:numFmt w:val="chineseCounting"/>
      <w:suff w:val="nothing"/>
      <w:lvlText w:val="%1、"/>
      <w:lvlJc w:val="left"/>
      <w:rPr>
        <w:rFonts w:hint="eastAsia"/>
        <w:b/>
        <w:bCs/>
      </w:rPr>
    </w:lvl>
  </w:abstractNum>
  <w:abstractNum w:abstractNumId="4">
    <w:nsid w:val="3FC1FC69"/>
    <w:multiLevelType w:val="singleLevel"/>
    <w:tmpl w:val="3FC1FC69"/>
    <w:lvl w:ilvl="0" w:tentative="0">
      <w:start w:val="1"/>
      <w:numFmt w:val="chineseCounting"/>
      <w:suff w:val="nothing"/>
      <w:lvlText w:val="%1、"/>
      <w:lvlJc w:val="left"/>
      <w:rPr>
        <w:rFonts w:hint="eastAsia"/>
        <w:b/>
        <w:bCs/>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lOTI3MTJmZDg1OTg3ZjRlYjc1Yzc4Mjk1MTA5NWUifQ=="/>
  </w:docVars>
  <w:rsids>
    <w:rsidRoot w:val="00172A27"/>
    <w:rsid w:val="00002DB9"/>
    <w:rsid w:val="00002DDE"/>
    <w:rsid w:val="00017EA0"/>
    <w:rsid w:val="00020BB4"/>
    <w:rsid w:val="000217AC"/>
    <w:rsid w:val="00036445"/>
    <w:rsid w:val="00037127"/>
    <w:rsid w:val="000523B0"/>
    <w:rsid w:val="00056685"/>
    <w:rsid w:val="0006168E"/>
    <w:rsid w:val="00064337"/>
    <w:rsid w:val="00087D57"/>
    <w:rsid w:val="000919FA"/>
    <w:rsid w:val="0009526C"/>
    <w:rsid w:val="00096776"/>
    <w:rsid w:val="000A7BEE"/>
    <w:rsid w:val="000B1A93"/>
    <w:rsid w:val="000B70BD"/>
    <w:rsid w:val="000B7DF1"/>
    <w:rsid w:val="000C110F"/>
    <w:rsid w:val="000C32D7"/>
    <w:rsid w:val="000C38A7"/>
    <w:rsid w:val="000D1779"/>
    <w:rsid w:val="000D7760"/>
    <w:rsid w:val="000E0DF1"/>
    <w:rsid w:val="000E280D"/>
    <w:rsid w:val="000E5DC5"/>
    <w:rsid w:val="000F57C7"/>
    <w:rsid w:val="000F589B"/>
    <w:rsid w:val="001005FA"/>
    <w:rsid w:val="001252CE"/>
    <w:rsid w:val="00127650"/>
    <w:rsid w:val="001411B9"/>
    <w:rsid w:val="00143684"/>
    <w:rsid w:val="001625B1"/>
    <w:rsid w:val="00171251"/>
    <w:rsid w:val="00172A27"/>
    <w:rsid w:val="0017461A"/>
    <w:rsid w:val="00176598"/>
    <w:rsid w:val="001970C9"/>
    <w:rsid w:val="00197745"/>
    <w:rsid w:val="001A1D51"/>
    <w:rsid w:val="001C3A17"/>
    <w:rsid w:val="001D3131"/>
    <w:rsid w:val="001E0394"/>
    <w:rsid w:val="001E1B5F"/>
    <w:rsid w:val="001E2D4E"/>
    <w:rsid w:val="001F0A63"/>
    <w:rsid w:val="00200F38"/>
    <w:rsid w:val="00211831"/>
    <w:rsid w:val="0021595C"/>
    <w:rsid w:val="00216136"/>
    <w:rsid w:val="0022062F"/>
    <w:rsid w:val="00222025"/>
    <w:rsid w:val="00224F1B"/>
    <w:rsid w:val="00230546"/>
    <w:rsid w:val="00237E73"/>
    <w:rsid w:val="0024272C"/>
    <w:rsid w:val="002460D4"/>
    <w:rsid w:val="0024765D"/>
    <w:rsid w:val="00247C59"/>
    <w:rsid w:val="002517F0"/>
    <w:rsid w:val="00257240"/>
    <w:rsid w:val="00261EC6"/>
    <w:rsid w:val="002620D7"/>
    <w:rsid w:val="0026215E"/>
    <w:rsid w:val="00275AEB"/>
    <w:rsid w:val="00281518"/>
    <w:rsid w:val="00286DE3"/>
    <w:rsid w:val="00291F5D"/>
    <w:rsid w:val="002A4452"/>
    <w:rsid w:val="002A7FB3"/>
    <w:rsid w:val="002C32C3"/>
    <w:rsid w:val="002C68D0"/>
    <w:rsid w:val="002C7466"/>
    <w:rsid w:val="002D6276"/>
    <w:rsid w:val="002D6D34"/>
    <w:rsid w:val="002D7926"/>
    <w:rsid w:val="002F044B"/>
    <w:rsid w:val="002F1576"/>
    <w:rsid w:val="002F40E7"/>
    <w:rsid w:val="002F4C0F"/>
    <w:rsid w:val="002F7E13"/>
    <w:rsid w:val="00301C7E"/>
    <w:rsid w:val="00314E0B"/>
    <w:rsid w:val="0031601E"/>
    <w:rsid w:val="00326102"/>
    <w:rsid w:val="003346AB"/>
    <w:rsid w:val="0034670D"/>
    <w:rsid w:val="00347599"/>
    <w:rsid w:val="00355D20"/>
    <w:rsid w:val="00362A47"/>
    <w:rsid w:val="00372528"/>
    <w:rsid w:val="00376897"/>
    <w:rsid w:val="00376B03"/>
    <w:rsid w:val="00380C41"/>
    <w:rsid w:val="00382927"/>
    <w:rsid w:val="00383F32"/>
    <w:rsid w:val="00386EBB"/>
    <w:rsid w:val="00387900"/>
    <w:rsid w:val="00390930"/>
    <w:rsid w:val="00395D5D"/>
    <w:rsid w:val="003A0EA0"/>
    <w:rsid w:val="003A70DD"/>
    <w:rsid w:val="003B0E6D"/>
    <w:rsid w:val="003B6CAC"/>
    <w:rsid w:val="003D3E59"/>
    <w:rsid w:val="003D4124"/>
    <w:rsid w:val="003D43FC"/>
    <w:rsid w:val="003D667F"/>
    <w:rsid w:val="003E03EF"/>
    <w:rsid w:val="003E1B42"/>
    <w:rsid w:val="003E40DC"/>
    <w:rsid w:val="003E6203"/>
    <w:rsid w:val="003F57AE"/>
    <w:rsid w:val="003F593E"/>
    <w:rsid w:val="00400169"/>
    <w:rsid w:val="00403C0B"/>
    <w:rsid w:val="00410511"/>
    <w:rsid w:val="00412A2F"/>
    <w:rsid w:val="004133A7"/>
    <w:rsid w:val="0041461F"/>
    <w:rsid w:val="00414FAA"/>
    <w:rsid w:val="0041628D"/>
    <w:rsid w:val="00420560"/>
    <w:rsid w:val="00422DFE"/>
    <w:rsid w:val="00425F22"/>
    <w:rsid w:val="00435C34"/>
    <w:rsid w:val="004401A0"/>
    <w:rsid w:val="00447A7F"/>
    <w:rsid w:val="004520E0"/>
    <w:rsid w:val="00452E86"/>
    <w:rsid w:val="004538E5"/>
    <w:rsid w:val="00466370"/>
    <w:rsid w:val="00470F2B"/>
    <w:rsid w:val="00480F2E"/>
    <w:rsid w:val="00493ADC"/>
    <w:rsid w:val="004A1EC1"/>
    <w:rsid w:val="004A3437"/>
    <w:rsid w:val="004A645E"/>
    <w:rsid w:val="004A7E69"/>
    <w:rsid w:val="004E698D"/>
    <w:rsid w:val="004F01C5"/>
    <w:rsid w:val="005019E5"/>
    <w:rsid w:val="00504388"/>
    <w:rsid w:val="00507654"/>
    <w:rsid w:val="00512850"/>
    <w:rsid w:val="005324AA"/>
    <w:rsid w:val="00556BF8"/>
    <w:rsid w:val="00562E50"/>
    <w:rsid w:val="0057165D"/>
    <w:rsid w:val="0057352C"/>
    <w:rsid w:val="00573FC9"/>
    <w:rsid w:val="00581FB0"/>
    <w:rsid w:val="00582542"/>
    <w:rsid w:val="0058563C"/>
    <w:rsid w:val="0059182D"/>
    <w:rsid w:val="005925AA"/>
    <w:rsid w:val="005942C3"/>
    <w:rsid w:val="005A149A"/>
    <w:rsid w:val="005B15FF"/>
    <w:rsid w:val="005B4663"/>
    <w:rsid w:val="005C1185"/>
    <w:rsid w:val="005D4EA7"/>
    <w:rsid w:val="005F1353"/>
    <w:rsid w:val="00601DA6"/>
    <w:rsid w:val="006068D1"/>
    <w:rsid w:val="0060695F"/>
    <w:rsid w:val="006131E7"/>
    <w:rsid w:val="0064066C"/>
    <w:rsid w:val="006544A0"/>
    <w:rsid w:val="0066134B"/>
    <w:rsid w:val="006656D8"/>
    <w:rsid w:val="00683E27"/>
    <w:rsid w:val="00685699"/>
    <w:rsid w:val="006A30DB"/>
    <w:rsid w:val="006A35AD"/>
    <w:rsid w:val="006A4462"/>
    <w:rsid w:val="006C346A"/>
    <w:rsid w:val="006C4682"/>
    <w:rsid w:val="006D4A73"/>
    <w:rsid w:val="006E0C1B"/>
    <w:rsid w:val="006E4259"/>
    <w:rsid w:val="006F47F3"/>
    <w:rsid w:val="006F598A"/>
    <w:rsid w:val="0070086F"/>
    <w:rsid w:val="00700FDA"/>
    <w:rsid w:val="00702443"/>
    <w:rsid w:val="00716EB3"/>
    <w:rsid w:val="007176C8"/>
    <w:rsid w:val="007239B7"/>
    <w:rsid w:val="007368B8"/>
    <w:rsid w:val="00737653"/>
    <w:rsid w:val="00745843"/>
    <w:rsid w:val="00746E57"/>
    <w:rsid w:val="00751E88"/>
    <w:rsid w:val="00752317"/>
    <w:rsid w:val="00753476"/>
    <w:rsid w:val="00770266"/>
    <w:rsid w:val="00775353"/>
    <w:rsid w:val="007756A9"/>
    <w:rsid w:val="0077696C"/>
    <w:rsid w:val="00777EA9"/>
    <w:rsid w:val="00781E45"/>
    <w:rsid w:val="00782E58"/>
    <w:rsid w:val="007949CC"/>
    <w:rsid w:val="007A5BA9"/>
    <w:rsid w:val="007C130B"/>
    <w:rsid w:val="007C2823"/>
    <w:rsid w:val="007C3780"/>
    <w:rsid w:val="007C4516"/>
    <w:rsid w:val="007C4FB1"/>
    <w:rsid w:val="007D47C5"/>
    <w:rsid w:val="007E6829"/>
    <w:rsid w:val="007F1E4C"/>
    <w:rsid w:val="007F3074"/>
    <w:rsid w:val="007F3D34"/>
    <w:rsid w:val="007F6BED"/>
    <w:rsid w:val="008001AD"/>
    <w:rsid w:val="00802D7C"/>
    <w:rsid w:val="00803293"/>
    <w:rsid w:val="00810968"/>
    <w:rsid w:val="00810F36"/>
    <w:rsid w:val="0081505A"/>
    <w:rsid w:val="00821D76"/>
    <w:rsid w:val="008329E1"/>
    <w:rsid w:val="0084172C"/>
    <w:rsid w:val="008436A8"/>
    <w:rsid w:val="00845A22"/>
    <w:rsid w:val="00860EE9"/>
    <w:rsid w:val="00861EC4"/>
    <w:rsid w:val="008653AB"/>
    <w:rsid w:val="008804F0"/>
    <w:rsid w:val="0088141B"/>
    <w:rsid w:val="0088174E"/>
    <w:rsid w:val="00881BE6"/>
    <w:rsid w:val="008A46C8"/>
    <w:rsid w:val="008A6C7B"/>
    <w:rsid w:val="008B017F"/>
    <w:rsid w:val="008B78E9"/>
    <w:rsid w:val="008D6CA0"/>
    <w:rsid w:val="008E03C9"/>
    <w:rsid w:val="008E123B"/>
    <w:rsid w:val="008E3067"/>
    <w:rsid w:val="008E5116"/>
    <w:rsid w:val="008E6521"/>
    <w:rsid w:val="008E6688"/>
    <w:rsid w:val="008E7795"/>
    <w:rsid w:val="008F04B0"/>
    <w:rsid w:val="00902644"/>
    <w:rsid w:val="00916BB3"/>
    <w:rsid w:val="00933C42"/>
    <w:rsid w:val="00934D8F"/>
    <w:rsid w:val="0095661C"/>
    <w:rsid w:val="00957111"/>
    <w:rsid w:val="00957C77"/>
    <w:rsid w:val="009658DE"/>
    <w:rsid w:val="00966DBA"/>
    <w:rsid w:val="009708E7"/>
    <w:rsid w:val="0097439A"/>
    <w:rsid w:val="0098375D"/>
    <w:rsid w:val="00983D9E"/>
    <w:rsid w:val="00985D4C"/>
    <w:rsid w:val="00996AD3"/>
    <w:rsid w:val="009A0C5B"/>
    <w:rsid w:val="009A4F1C"/>
    <w:rsid w:val="009B0703"/>
    <w:rsid w:val="009B68F2"/>
    <w:rsid w:val="009D50F9"/>
    <w:rsid w:val="009E50BF"/>
    <w:rsid w:val="009F5063"/>
    <w:rsid w:val="00A031AE"/>
    <w:rsid w:val="00A03AB0"/>
    <w:rsid w:val="00A1170A"/>
    <w:rsid w:val="00A11912"/>
    <w:rsid w:val="00A123D5"/>
    <w:rsid w:val="00A1294F"/>
    <w:rsid w:val="00A13BE4"/>
    <w:rsid w:val="00A140A5"/>
    <w:rsid w:val="00A35949"/>
    <w:rsid w:val="00A41358"/>
    <w:rsid w:val="00A50656"/>
    <w:rsid w:val="00A604DF"/>
    <w:rsid w:val="00A63874"/>
    <w:rsid w:val="00A64A04"/>
    <w:rsid w:val="00A6592C"/>
    <w:rsid w:val="00A65B91"/>
    <w:rsid w:val="00A66411"/>
    <w:rsid w:val="00A673FA"/>
    <w:rsid w:val="00A74E20"/>
    <w:rsid w:val="00A83C9E"/>
    <w:rsid w:val="00A84628"/>
    <w:rsid w:val="00A92CF4"/>
    <w:rsid w:val="00A9414F"/>
    <w:rsid w:val="00AA04D9"/>
    <w:rsid w:val="00AC16B0"/>
    <w:rsid w:val="00AC61E3"/>
    <w:rsid w:val="00AC781A"/>
    <w:rsid w:val="00AF1D6C"/>
    <w:rsid w:val="00B22E97"/>
    <w:rsid w:val="00B35C66"/>
    <w:rsid w:val="00B434E8"/>
    <w:rsid w:val="00B442DF"/>
    <w:rsid w:val="00B612E7"/>
    <w:rsid w:val="00B62AA2"/>
    <w:rsid w:val="00B63215"/>
    <w:rsid w:val="00B67C41"/>
    <w:rsid w:val="00B76793"/>
    <w:rsid w:val="00B771EB"/>
    <w:rsid w:val="00B82319"/>
    <w:rsid w:val="00B82E76"/>
    <w:rsid w:val="00B83416"/>
    <w:rsid w:val="00B85347"/>
    <w:rsid w:val="00B87E05"/>
    <w:rsid w:val="00B975A1"/>
    <w:rsid w:val="00BB0CE6"/>
    <w:rsid w:val="00BB0EF7"/>
    <w:rsid w:val="00BB11D4"/>
    <w:rsid w:val="00BB33C7"/>
    <w:rsid w:val="00BC77CC"/>
    <w:rsid w:val="00BD487F"/>
    <w:rsid w:val="00BF12B2"/>
    <w:rsid w:val="00BF6757"/>
    <w:rsid w:val="00C01CF7"/>
    <w:rsid w:val="00C1403D"/>
    <w:rsid w:val="00C20075"/>
    <w:rsid w:val="00C25822"/>
    <w:rsid w:val="00C27470"/>
    <w:rsid w:val="00C347B3"/>
    <w:rsid w:val="00C36E42"/>
    <w:rsid w:val="00C37374"/>
    <w:rsid w:val="00C374A6"/>
    <w:rsid w:val="00C45A9A"/>
    <w:rsid w:val="00C477AB"/>
    <w:rsid w:val="00C56692"/>
    <w:rsid w:val="00C641D3"/>
    <w:rsid w:val="00C6503D"/>
    <w:rsid w:val="00C66C67"/>
    <w:rsid w:val="00C9292F"/>
    <w:rsid w:val="00C95686"/>
    <w:rsid w:val="00C95E49"/>
    <w:rsid w:val="00CA2572"/>
    <w:rsid w:val="00CB014C"/>
    <w:rsid w:val="00CB4228"/>
    <w:rsid w:val="00CB70E6"/>
    <w:rsid w:val="00CC32C8"/>
    <w:rsid w:val="00CC7B06"/>
    <w:rsid w:val="00CD6D6A"/>
    <w:rsid w:val="00CE0F98"/>
    <w:rsid w:val="00CE215F"/>
    <w:rsid w:val="00CE222A"/>
    <w:rsid w:val="00D032D5"/>
    <w:rsid w:val="00D1704B"/>
    <w:rsid w:val="00D337FD"/>
    <w:rsid w:val="00D37E25"/>
    <w:rsid w:val="00D5055E"/>
    <w:rsid w:val="00D53355"/>
    <w:rsid w:val="00D5561F"/>
    <w:rsid w:val="00D7726F"/>
    <w:rsid w:val="00DA7780"/>
    <w:rsid w:val="00DB2FF2"/>
    <w:rsid w:val="00DB4657"/>
    <w:rsid w:val="00DB5581"/>
    <w:rsid w:val="00DB6088"/>
    <w:rsid w:val="00DB6A82"/>
    <w:rsid w:val="00DD76FA"/>
    <w:rsid w:val="00DE1C62"/>
    <w:rsid w:val="00DE35FB"/>
    <w:rsid w:val="00DE5BCE"/>
    <w:rsid w:val="00DF079E"/>
    <w:rsid w:val="00DF1137"/>
    <w:rsid w:val="00DF14E2"/>
    <w:rsid w:val="00DF18D4"/>
    <w:rsid w:val="00DF7798"/>
    <w:rsid w:val="00E20715"/>
    <w:rsid w:val="00E20B9C"/>
    <w:rsid w:val="00E2100B"/>
    <w:rsid w:val="00E229CC"/>
    <w:rsid w:val="00E235CF"/>
    <w:rsid w:val="00E32FCE"/>
    <w:rsid w:val="00E4072E"/>
    <w:rsid w:val="00E46271"/>
    <w:rsid w:val="00E56B60"/>
    <w:rsid w:val="00E60397"/>
    <w:rsid w:val="00E65702"/>
    <w:rsid w:val="00E85C6E"/>
    <w:rsid w:val="00E9067B"/>
    <w:rsid w:val="00E9195F"/>
    <w:rsid w:val="00E958E4"/>
    <w:rsid w:val="00E96B1B"/>
    <w:rsid w:val="00EA03DC"/>
    <w:rsid w:val="00EA27E5"/>
    <w:rsid w:val="00EA3426"/>
    <w:rsid w:val="00EA433E"/>
    <w:rsid w:val="00EA57A8"/>
    <w:rsid w:val="00EB17F7"/>
    <w:rsid w:val="00EB289E"/>
    <w:rsid w:val="00EB527A"/>
    <w:rsid w:val="00EC1306"/>
    <w:rsid w:val="00EC29D7"/>
    <w:rsid w:val="00EC7240"/>
    <w:rsid w:val="00ED42B1"/>
    <w:rsid w:val="00ED4FCC"/>
    <w:rsid w:val="00EF3B55"/>
    <w:rsid w:val="00F010BD"/>
    <w:rsid w:val="00F0263B"/>
    <w:rsid w:val="00F07762"/>
    <w:rsid w:val="00F124AE"/>
    <w:rsid w:val="00F14A75"/>
    <w:rsid w:val="00F15CAE"/>
    <w:rsid w:val="00F17FE1"/>
    <w:rsid w:val="00F20F72"/>
    <w:rsid w:val="00F2355D"/>
    <w:rsid w:val="00F2617A"/>
    <w:rsid w:val="00F42E3A"/>
    <w:rsid w:val="00F44487"/>
    <w:rsid w:val="00F523FA"/>
    <w:rsid w:val="00F57955"/>
    <w:rsid w:val="00F74669"/>
    <w:rsid w:val="00F74C28"/>
    <w:rsid w:val="00F76A5C"/>
    <w:rsid w:val="00F82FD1"/>
    <w:rsid w:val="00F95BE5"/>
    <w:rsid w:val="00FA1815"/>
    <w:rsid w:val="00FB36DA"/>
    <w:rsid w:val="00FB53FF"/>
    <w:rsid w:val="00FB5786"/>
    <w:rsid w:val="00FC52BE"/>
    <w:rsid w:val="00FE1C22"/>
    <w:rsid w:val="011001F0"/>
    <w:rsid w:val="01DB0283"/>
    <w:rsid w:val="032348AB"/>
    <w:rsid w:val="03465822"/>
    <w:rsid w:val="03741B99"/>
    <w:rsid w:val="03C055D4"/>
    <w:rsid w:val="041D1F18"/>
    <w:rsid w:val="05422780"/>
    <w:rsid w:val="060707DD"/>
    <w:rsid w:val="067F17E4"/>
    <w:rsid w:val="06B23D5E"/>
    <w:rsid w:val="06BE596A"/>
    <w:rsid w:val="072D4437"/>
    <w:rsid w:val="07727EEC"/>
    <w:rsid w:val="082D0D5E"/>
    <w:rsid w:val="084A43DC"/>
    <w:rsid w:val="08646365"/>
    <w:rsid w:val="08F5269D"/>
    <w:rsid w:val="094F5B89"/>
    <w:rsid w:val="0975770E"/>
    <w:rsid w:val="09D13C82"/>
    <w:rsid w:val="09F233A9"/>
    <w:rsid w:val="0A204648"/>
    <w:rsid w:val="0A8B505F"/>
    <w:rsid w:val="0B117F18"/>
    <w:rsid w:val="0B6A2ADF"/>
    <w:rsid w:val="0B7A14D5"/>
    <w:rsid w:val="0BDE3B0E"/>
    <w:rsid w:val="0BE0521C"/>
    <w:rsid w:val="0C002F61"/>
    <w:rsid w:val="0C34445D"/>
    <w:rsid w:val="0C5019B2"/>
    <w:rsid w:val="0CD8663C"/>
    <w:rsid w:val="0CF04ED1"/>
    <w:rsid w:val="0E0332A9"/>
    <w:rsid w:val="0E0B0C75"/>
    <w:rsid w:val="0E125E9A"/>
    <w:rsid w:val="0E8007D6"/>
    <w:rsid w:val="0F8C306D"/>
    <w:rsid w:val="0FB26AE6"/>
    <w:rsid w:val="0FBE01A5"/>
    <w:rsid w:val="10591EE8"/>
    <w:rsid w:val="11686414"/>
    <w:rsid w:val="1173669F"/>
    <w:rsid w:val="11BE75E2"/>
    <w:rsid w:val="11EE4584"/>
    <w:rsid w:val="12055F55"/>
    <w:rsid w:val="120C7C36"/>
    <w:rsid w:val="128D4A11"/>
    <w:rsid w:val="13477D30"/>
    <w:rsid w:val="13911466"/>
    <w:rsid w:val="13A7611E"/>
    <w:rsid w:val="14257FA7"/>
    <w:rsid w:val="145C3C6A"/>
    <w:rsid w:val="151C4B73"/>
    <w:rsid w:val="16075904"/>
    <w:rsid w:val="16317C47"/>
    <w:rsid w:val="17241C75"/>
    <w:rsid w:val="17794C1F"/>
    <w:rsid w:val="179E35EE"/>
    <w:rsid w:val="179F4858"/>
    <w:rsid w:val="17C8769A"/>
    <w:rsid w:val="17DF3BC6"/>
    <w:rsid w:val="17F40566"/>
    <w:rsid w:val="18DC4BFC"/>
    <w:rsid w:val="19107B87"/>
    <w:rsid w:val="192C10D8"/>
    <w:rsid w:val="19B8756E"/>
    <w:rsid w:val="1A1237AF"/>
    <w:rsid w:val="1A683A18"/>
    <w:rsid w:val="1AC75042"/>
    <w:rsid w:val="1B006F34"/>
    <w:rsid w:val="1CA97C82"/>
    <w:rsid w:val="1DB250B7"/>
    <w:rsid w:val="1DF364B5"/>
    <w:rsid w:val="1DF4076D"/>
    <w:rsid w:val="1DF83C7D"/>
    <w:rsid w:val="1EEF00B9"/>
    <w:rsid w:val="1F925C1F"/>
    <w:rsid w:val="20095B81"/>
    <w:rsid w:val="202B40FA"/>
    <w:rsid w:val="209B6E28"/>
    <w:rsid w:val="20A1779F"/>
    <w:rsid w:val="20B23337"/>
    <w:rsid w:val="21CA2570"/>
    <w:rsid w:val="22CB3C4E"/>
    <w:rsid w:val="23202FA6"/>
    <w:rsid w:val="2323220F"/>
    <w:rsid w:val="237F406B"/>
    <w:rsid w:val="23A72FCE"/>
    <w:rsid w:val="24315EEF"/>
    <w:rsid w:val="2438471B"/>
    <w:rsid w:val="25B5449B"/>
    <w:rsid w:val="25C655DD"/>
    <w:rsid w:val="26643BFE"/>
    <w:rsid w:val="2671562B"/>
    <w:rsid w:val="26FC021C"/>
    <w:rsid w:val="273E3781"/>
    <w:rsid w:val="27BF32BE"/>
    <w:rsid w:val="27F3161F"/>
    <w:rsid w:val="288B6D4C"/>
    <w:rsid w:val="28E057E5"/>
    <w:rsid w:val="28F1218A"/>
    <w:rsid w:val="290401B8"/>
    <w:rsid w:val="29AA1DB7"/>
    <w:rsid w:val="29AF6F4C"/>
    <w:rsid w:val="2A2E715A"/>
    <w:rsid w:val="2A46021F"/>
    <w:rsid w:val="2A497822"/>
    <w:rsid w:val="2AC47B16"/>
    <w:rsid w:val="2AF61E5D"/>
    <w:rsid w:val="2BB56D0E"/>
    <w:rsid w:val="2C020634"/>
    <w:rsid w:val="2C214055"/>
    <w:rsid w:val="2C780D13"/>
    <w:rsid w:val="2CA10EC7"/>
    <w:rsid w:val="2D4E3C7F"/>
    <w:rsid w:val="2D5203DB"/>
    <w:rsid w:val="2D55517C"/>
    <w:rsid w:val="2E245E8E"/>
    <w:rsid w:val="2E8B728F"/>
    <w:rsid w:val="2ED77B06"/>
    <w:rsid w:val="2FF41798"/>
    <w:rsid w:val="30625475"/>
    <w:rsid w:val="30A804F4"/>
    <w:rsid w:val="30B71C36"/>
    <w:rsid w:val="31895970"/>
    <w:rsid w:val="31937A7B"/>
    <w:rsid w:val="31B95F69"/>
    <w:rsid w:val="31C25049"/>
    <w:rsid w:val="323A4C76"/>
    <w:rsid w:val="32C54D96"/>
    <w:rsid w:val="32C851B1"/>
    <w:rsid w:val="333A41AC"/>
    <w:rsid w:val="334375E4"/>
    <w:rsid w:val="336E0939"/>
    <w:rsid w:val="340C2885"/>
    <w:rsid w:val="341600F9"/>
    <w:rsid w:val="34343B09"/>
    <w:rsid w:val="347F69DC"/>
    <w:rsid w:val="349C7D43"/>
    <w:rsid w:val="34A7043B"/>
    <w:rsid w:val="35791238"/>
    <w:rsid w:val="357F49C9"/>
    <w:rsid w:val="35FB2226"/>
    <w:rsid w:val="36722E5C"/>
    <w:rsid w:val="369F7680"/>
    <w:rsid w:val="37653C28"/>
    <w:rsid w:val="37830C3B"/>
    <w:rsid w:val="37E63AB5"/>
    <w:rsid w:val="381A773A"/>
    <w:rsid w:val="39507E77"/>
    <w:rsid w:val="39700F28"/>
    <w:rsid w:val="39CB7668"/>
    <w:rsid w:val="3A00765E"/>
    <w:rsid w:val="3A2171B1"/>
    <w:rsid w:val="3A891740"/>
    <w:rsid w:val="3B00481A"/>
    <w:rsid w:val="3B3F2D0A"/>
    <w:rsid w:val="3B6F4C85"/>
    <w:rsid w:val="3B8012A0"/>
    <w:rsid w:val="3B88771A"/>
    <w:rsid w:val="3BED708C"/>
    <w:rsid w:val="3BEF0EBF"/>
    <w:rsid w:val="3C0670D3"/>
    <w:rsid w:val="3C1B789E"/>
    <w:rsid w:val="3C2D0C90"/>
    <w:rsid w:val="3CCC507A"/>
    <w:rsid w:val="3CCF1F21"/>
    <w:rsid w:val="3D0120D8"/>
    <w:rsid w:val="3D10657D"/>
    <w:rsid w:val="3D394BF1"/>
    <w:rsid w:val="3D567E34"/>
    <w:rsid w:val="3D6B3957"/>
    <w:rsid w:val="3E4D1237"/>
    <w:rsid w:val="3E9747B5"/>
    <w:rsid w:val="3EF43C23"/>
    <w:rsid w:val="3F2676D9"/>
    <w:rsid w:val="3F5F7351"/>
    <w:rsid w:val="3F7312D6"/>
    <w:rsid w:val="4039318F"/>
    <w:rsid w:val="42BC698B"/>
    <w:rsid w:val="42E04282"/>
    <w:rsid w:val="448E0F5F"/>
    <w:rsid w:val="452D3B07"/>
    <w:rsid w:val="456A5FCD"/>
    <w:rsid w:val="456C19C4"/>
    <w:rsid w:val="458F17EC"/>
    <w:rsid w:val="45E23D27"/>
    <w:rsid w:val="463C2446"/>
    <w:rsid w:val="46681526"/>
    <w:rsid w:val="46990B17"/>
    <w:rsid w:val="47C3656A"/>
    <w:rsid w:val="483D15E1"/>
    <w:rsid w:val="48ED6392"/>
    <w:rsid w:val="495661C3"/>
    <w:rsid w:val="495F42EA"/>
    <w:rsid w:val="49620B7C"/>
    <w:rsid w:val="497B2D98"/>
    <w:rsid w:val="49AA4153"/>
    <w:rsid w:val="49E664DF"/>
    <w:rsid w:val="4A261CD7"/>
    <w:rsid w:val="4A6D507F"/>
    <w:rsid w:val="4A911F9B"/>
    <w:rsid w:val="4BC34CB2"/>
    <w:rsid w:val="4C7E32ED"/>
    <w:rsid w:val="4D9047DF"/>
    <w:rsid w:val="4DE24F9C"/>
    <w:rsid w:val="4E3229A2"/>
    <w:rsid w:val="4E641B2E"/>
    <w:rsid w:val="4F2E29BF"/>
    <w:rsid w:val="4FAE7D69"/>
    <w:rsid w:val="4FBA6CD7"/>
    <w:rsid w:val="507B0716"/>
    <w:rsid w:val="50AD57CE"/>
    <w:rsid w:val="50E07518"/>
    <w:rsid w:val="511F04A5"/>
    <w:rsid w:val="51242B86"/>
    <w:rsid w:val="51511167"/>
    <w:rsid w:val="51A30702"/>
    <w:rsid w:val="51ED1E8E"/>
    <w:rsid w:val="523303C9"/>
    <w:rsid w:val="524E534A"/>
    <w:rsid w:val="52BD6DD9"/>
    <w:rsid w:val="52D05D21"/>
    <w:rsid w:val="52DF71EF"/>
    <w:rsid w:val="5313758B"/>
    <w:rsid w:val="538C69C3"/>
    <w:rsid w:val="53AD2437"/>
    <w:rsid w:val="541F10CB"/>
    <w:rsid w:val="54330A77"/>
    <w:rsid w:val="54380719"/>
    <w:rsid w:val="54A051B8"/>
    <w:rsid w:val="555D21D7"/>
    <w:rsid w:val="556F58FB"/>
    <w:rsid w:val="558A7190"/>
    <w:rsid w:val="55C7008D"/>
    <w:rsid w:val="562E2DB4"/>
    <w:rsid w:val="57AB660A"/>
    <w:rsid w:val="580863D8"/>
    <w:rsid w:val="58254B7B"/>
    <w:rsid w:val="58646800"/>
    <w:rsid w:val="58871392"/>
    <w:rsid w:val="589F0AD8"/>
    <w:rsid w:val="595B3551"/>
    <w:rsid w:val="59627412"/>
    <w:rsid w:val="59BA68A2"/>
    <w:rsid w:val="5ACC6B10"/>
    <w:rsid w:val="5ACF6AB5"/>
    <w:rsid w:val="5AF076C2"/>
    <w:rsid w:val="5B8422F7"/>
    <w:rsid w:val="5BA33A1C"/>
    <w:rsid w:val="5C3F3FFB"/>
    <w:rsid w:val="5C597819"/>
    <w:rsid w:val="5C967671"/>
    <w:rsid w:val="5D5A3B31"/>
    <w:rsid w:val="5DAD3A79"/>
    <w:rsid w:val="5DCD1758"/>
    <w:rsid w:val="5E574FA8"/>
    <w:rsid w:val="5E8D1775"/>
    <w:rsid w:val="5E9465B6"/>
    <w:rsid w:val="5F08128D"/>
    <w:rsid w:val="5F08322C"/>
    <w:rsid w:val="5F873C50"/>
    <w:rsid w:val="5FC330A1"/>
    <w:rsid w:val="5FC53D74"/>
    <w:rsid w:val="602101AB"/>
    <w:rsid w:val="60905B6C"/>
    <w:rsid w:val="60B15181"/>
    <w:rsid w:val="60BB37D8"/>
    <w:rsid w:val="60C8673E"/>
    <w:rsid w:val="61486A46"/>
    <w:rsid w:val="61F41DFF"/>
    <w:rsid w:val="635D5B0E"/>
    <w:rsid w:val="63F60D77"/>
    <w:rsid w:val="64687828"/>
    <w:rsid w:val="64A7669B"/>
    <w:rsid w:val="64B2391D"/>
    <w:rsid w:val="64B65680"/>
    <w:rsid w:val="65464803"/>
    <w:rsid w:val="65DC1B12"/>
    <w:rsid w:val="66745D68"/>
    <w:rsid w:val="671C384B"/>
    <w:rsid w:val="68015D6B"/>
    <w:rsid w:val="681D4A76"/>
    <w:rsid w:val="69266272"/>
    <w:rsid w:val="699D69A6"/>
    <w:rsid w:val="6A420C2A"/>
    <w:rsid w:val="6B476531"/>
    <w:rsid w:val="6B85733F"/>
    <w:rsid w:val="6BE96218"/>
    <w:rsid w:val="6BF95DFB"/>
    <w:rsid w:val="6C180259"/>
    <w:rsid w:val="6C2E30E4"/>
    <w:rsid w:val="6C5253C1"/>
    <w:rsid w:val="6C79796F"/>
    <w:rsid w:val="6C9D5C8C"/>
    <w:rsid w:val="6CF1733F"/>
    <w:rsid w:val="6D0D21EB"/>
    <w:rsid w:val="6D911044"/>
    <w:rsid w:val="6DAE4ED6"/>
    <w:rsid w:val="6DBE0F5A"/>
    <w:rsid w:val="6E097F2E"/>
    <w:rsid w:val="6EBC2C77"/>
    <w:rsid w:val="6EC854BE"/>
    <w:rsid w:val="6FD81D7F"/>
    <w:rsid w:val="70BD04CD"/>
    <w:rsid w:val="711427DE"/>
    <w:rsid w:val="714E4514"/>
    <w:rsid w:val="71836296"/>
    <w:rsid w:val="720D1E5C"/>
    <w:rsid w:val="728104DD"/>
    <w:rsid w:val="739A40A9"/>
    <w:rsid w:val="73BB2A23"/>
    <w:rsid w:val="74360F69"/>
    <w:rsid w:val="74B35022"/>
    <w:rsid w:val="74C72569"/>
    <w:rsid w:val="74F01185"/>
    <w:rsid w:val="75386EA7"/>
    <w:rsid w:val="76040B5B"/>
    <w:rsid w:val="76B369B9"/>
    <w:rsid w:val="77002186"/>
    <w:rsid w:val="77466101"/>
    <w:rsid w:val="776215B2"/>
    <w:rsid w:val="784871AF"/>
    <w:rsid w:val="785A7E99"/>
    <w:rsid w:val="78827754"/>
    <w:rsid w:val="78D6242A"/>
    <w:rsid w:val="791D2E63"/>
    <w:rsid w:val="79A72BDF"/>
    <w:rsid w:val="79AE6EAC"/>
    <w:rsid w:val="79B20EA9"/>
    <w:rsid w:val="79B71311"/>
    <w:rsid w:val="79C06C32"/>
    <w:rsid w:val="79FC47FF"/>
    <w:rsid w:val="7A404A50"/>
    <w:rsid w:val="7AF32215"/>
    <w:rsid w:val="7B2365E5"/>
    <w:rsid w:val="7B26441E"/>
    <w:rsid w:val="7BA646F8"/>
    <w:rsid w:val="7BE00DA4"/>
    <w:rsid w:val="7D7A7DE3"/>
    <w:rsid w:val="7D8B6F20"/>
    <w:rsid w:val="7DAA29C3"/>
    <w:rsid w:val="7EB156A1"/>
    <w:rsid w:val="7EF70F9E"/>
    <w:rsid w:val="7F2E620B"/>
    <w:rsid w:val="7F340489"/>
    <w:rsid w:val="7F5943CF"/>
    <w:rsid w:val="7F640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5">
    <w:name w:val="heading 1"/>
    <w:basedOn w:val="1"/>
    <w:next w:val="1"/>
    <w:link w:val="35"/>
    <w:autoRedefine/>
    <w:qFormat/>
    <w:uiPriority w:val="0"/>
    <w:pPr>
      <w:outlineLvl w:val="0"/>
    </w:pPr>
  </w:style>
  <w:style w:type="paragraph" w:styleId="6">
    <w:name w:val="heading 2"/>
    <w:basedOn w:val="1"/>
    <w:next w:val="1"/>
    <w:link w:val="38"/>
    <w:autoRedefine/>
    <w:unhideWhenUsed/>
    <w:qFormat/>
    <w:uiPriority w:val="9"/>
    <w:pPr>
      <w:ind w:left="220" w:right="220" w:firstLine="602" w:firstLineChars="200"/>
      <w:outlineLvl w:val="1"/>
    </w:pPr>
  </w:style>
  <w:style w:type="character" w:default="1" w:styleId="24">
    <w:name w:val="Default Paragraph Font"/>
    <w:autoRedefine/>
    <w:unhideWhenUsed/>
    <w:qFormat/>
    <w:uiPriority w:val="1"/>
  </w:style>
  <w:style w:type="table" w:default="1" w:styleId="22">
    <w:name w:val="Normal Table"/>
    <w:autoRedefine/>
    <w:unhideWhenUsed/>
    <w:qFormat/>
    <w:uiPriority w:val="99"/>
    <w:tblPr>
      <w:tblCellMar>
        <w:top w:w="0" w:type="dxa"/>
        <w:left w:w="108" w:type="dxa"/>
        <w:bottom w:w="0" w:type="dxa"/>
        <w:right w:w="108" w:type="dxa"/>
      </w:tblCellMar>
    </w:tblPr>
  </w:style>
  <w:style w:type="paragraph" w:styleId="2">
    <w:name w:val="Body Text First Indent 2"/>
    <w:basedOn w:val="3"/>
    <w:next w:val="4"/>
    <w:link w:val="48"/>
    <w:autoRedefine/>
    <w:qFormat/>
    <w:uiPriority w:val="0"/>
    <w:pPr>
      <w:adjustRightInd/>
      <w:ind w:firstLine="420" w:firstLineChars="200"/>
    </w:pPr>
    <w:rPr>
      <w:rFonts w:asciiTheme="minorHAnsi" w:hAnsiTheme="minorHAnsi" w:eastAsiaTheme="minorEastAsia"/>
      <w:kern w:val="2"/>
    </w:rPr>
  </w:style>
  <w:style w:type="paragraph" w:styleId="3">
    <w:name w:val="Body Text Indent"/>
    <w:basedOn w:val="1"/>
    <w:link w:val="49"/>
    <w:autoRedefine/>
    <w:unhideWhenUsed/>
    <w:qFormat/>
    <w:uiPriority w:val="0"/>
    <w:pPr>
      <w:spacing w:after="120"/>
      <w:ind w:left="420" w:leftChars="200"/>
    </w:pPr>
  </w:style>
  <w:style w:type="paragraph" w:styleId="4">
    <w:name w:val="Body Text"/>
    <w:basedOn w:val="1"/>
    <w:next w:val="1"/>
    <w:autoRedefine/>
    <w:qFormat/>
    <w:uiPriority w:val="0"/>
    <w:pPr>
      <w:spacing w:line="360" w:lineRule="auto"/>
    </w:pPr>
    <w:rPr>
      <w:color w:val="FF0000"/>
      <w:sz w:val="20"/>
    </w:rPr>
  </w:style>
  <w:style w:type="paragraph" w:styleId="7">
    <w:name w:val="Normal Indent"/>
    <w:basedOn w:val="1"/>
    <w:autoRedefine/>
    <w:qFormat/>
    <w:uiPriority w:val="0"/>
    <w:pPr>
      <w:ind w:firstLine="420" w:firstLineChars="200"/>
    </w:pPr>
  </w:style>
  <w:style w:type="paragraph" w:styleId="8">
    <w:name w:val="Document Map"/>
    <w:basedOn w:val="1"/>
    <w:link w:val="43"/>
    <w:autoRedefine/>
    <w:qFormat/>
    <w:uiPriority w:val="0"/>
    <w:pPr>
      <w:widowControl w:val="0"/>
      <w:adjustRightInd/>
      <w:snapToGrid/>
      <w:spacing w:after="0"/>
      <w:jc w:val="both"/>
    </w:pPr>
    <w:rPr>
      <w:rFonts w:ascii="宋体" w:hAnsi="Times New Roman" w:eastAsia="宋体" w:cs="Times New Roman"/>
      <w:kern w:val="2"/>
      <w:sz w:val="18"/>
      <w:szCs w:val="18"/>
    </w:rPr>
  </w:style>
  <w:style w:type="paragraph" w:styleId="9">
    <w:name w:val="annotation text"/>
    <w:basedOn w:val="1"/>
    <w:link w:val="33"/>
    <w:autoRedefine/>
    <w:qFormat/>
    <w:uiPriority w:val="0"/>
    <w:rPr>
      <w:rFonts w:ascii="Times New Roman" w:hAnsi="Times New Roman"/>
    </w:rPr>
  </w:style>
  <w:style w:type="paragraph" w:styleId="10">
    <w:name w:val="Plain Text"/>
    <w:basedOn w:val="1"/>
    <w:autoRedefine/>
    <w:qFormat/>
    <w:uiPriority w:val="0"/>
    <w:rPr>
      <w:rFonts w:ascii="宋体" w:hAnsi="Courier New"/>
      <w:sz w:val="20"/>
      <w:szCs w:val="21"/>
    </w:rPr>
  </w:style>
  <w:style w:type="paragraph" w:styleId="11">
    <w:name w:val="Body Text Indent 2"/>
    <w:basedOn w:val="1"/>
    <w:link w:val="37"/>
    <w:autoRedefine/>
    <w:qFormat/>
    <w:uiPriority w:val="0"/>
    <w:pPr>
      <w:spacing w:after="120" w:line="480" w:lineRule="auto"/>
      <w:ind w:left="420" w:leftChars="200"/>
    </w:pPr>
  </w:style>
  <w:style w:type="paragraph" w:styleId="12">
    <w:name w:val="Balloon Text"/>
    <w:basedOn w:val="1"/>
    <w:link w:val="32"/>
    <w:autoRedefine/>
    <w:qFormat/>
    <w:uiPriority w:val="0"/>
    <w:pPr>
      <w:spacing w:after="0"/>
    </w:pPr>
    <w:rPr>
      <w:sz w:val="18"/>
      <w:szCs w:val="18"/>
    </w:rPr>
  </w:style>
  <w:style w:type="paragraph" w:styleId="13">
    <w:name w:val="footer"/>
    <w:basedOn w:val="1"/>
    <w:link w:val="47"/>
    <w:autoRedefine/>
    <w:unhideWhenUsed/>
    <w:qFormat/>
    <w:uiPriority w:val="99"/>
    <w:pPr>
      <w:tabs>
        <w:tab w:val="center" w:pos="4153"/>
        <w:tab w:val="right" w:pos="8306"/>
      </w:tabs>
    </w:pPr>
    <w:rPr>
      <w:sz w:val="18"/>
      <w:szCs w:val="18"/>
    </w:rPr>
  </w:style>
  <w:style w:type="paragraph" w:styleId="14">
    <w:name w:val="header"/>
    <w:basedOn w:val="1"/>
    <w:autoRedefine/>
    <w:unhideWhenUsed/>
    <w:qFormat/>
    <w:uiPriority w:val="0"/>
    <w:pPr>
      <w:pBdr>
        <w:bottom w:val="single" w:color="auto" w:sz="6" w:space="1"/>
      </w:pBdr>
      <w:tabs>
        <w:tab w:val="center" w:pos="4153"/>
        <w:tab w:val="right" w:pos="8306"/>
      </w:tabs>
      <w:jc w:val="center"/>
    </w:pPr>
    <w:rPr>
      <w:sz w:val="18"/>
      <w:szCs w:val="18"/>
    </w:rPr>
  </w:style>
  <w:style w:type="paragraph" w:styleId="15">
    <w:name w:val="toc 1"/>
    <w:basedOn w:val="1"/>
    <w:next w:val="1"/>
    <w:autoRedefine/>
    <w:qFormat/>
    <w:uiPriority w:val="39"/>
  </w:style>
  <w:style w:type="paragraph" w:styleId="16">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17">
    <w:name w:val="Body Text Indent 3"/>
    <w:basedOn w:val="1"/>
    <w:link w:val="36"/>
    <w:autoRedefine/>
    <w:qFormat/>
    <w:uiPriority w:val="0"/>
    <w:pPr>
      <w:spacing w:after="120"/>
      <w:ind w:left="420" w:leftChars="200"/>
    </w:pPr>
    <w:rPr>
      <w:sz w:val="16"/>
      <w:szCs w:val="16"/>
    </w:rPr>
  </w:style>
  <w:style w:type="paragraph" w:styleId="18">
    <w:name w:val="toc 2"/>
    <w:basedOn w:val="1"/>
    <w:next w:val="1"/>
    <w:autoRedefine/>
    <w:qFormat/>
    <w:uiPriority w:val="39"/>
    <w:pPr>
      <w:ind w:left="420" w:leftChars="200"/>
    </w:pPr>
  </w:style>
  <w:style w:type="paragraph" w:styleId="19">
    <w:name w:val="Normal (Web)"/>
    <w:basedOn w:val="1"/>
    <w:autoRedefine/>
    <w:qFormat/>
    <w:uiPriority w:val="0"/>
    <w:pPr>
      <w:spacing w:beforeAutospacing="1" w:after="0" w:afterAutospacing="1"/>
      <w:ind w:left="880" w:leftChars="100" w:right="100" w:rightChars="100"/>
    </w:pPr>
    <w:rPr>
      <w:rFonts w:eastAsia="仿宋_GB2312" w:cs="Times New Roman"/>
      <w:b/>
      <w:sz w:val="30"/>
    </w:rPr>
  </w:style>
  <w:style w:type="paragraph" w:styleId="20">
    <w:name w:val="Title"/>
    <w:basedOn w:val="1"/>
    <w:next w:val="1"/>
    <w:autoRedefine/>
    <w:qFormat/>
    <w:uiPriority w:val="10"/>
    <w:pPr>
      <w:spacing w:before="240" w:after="60"/>
      <w:jc w:val="center"/>
      <w:outlineLvl w:val="0"/>
    </w:pPr>
    <w:rPr>
      <w:rFonts w:eastAsia="仿宋_GB2312" w:asciiTheme="majorHAnsi" w:hAnsiTheme="majorHAnsi" w:cstheme="majorBidi"/>
      <w:b/>
      <w:bCs/>
      <w:sz w:val="36"/>
      <w:szCs w:val="32"/>
    </w:rPr>
  </w:style>
  <w:style w:type="paragraph" w:styleId="21">
    <w:name w:val="annotation subject"/>
    <w:basedOn w:val="9"/>
    <w:next w:val="9"/>
    <w:link w:val="34"/>
    <w:autoRedefine/>
    <w:qFormat/>
    <w:uiPriority w:val="0"/>
    <w:rPr>
      <w:rFonts w:ascii="Tahoma" w:hAnsi="Tahoma"/>
      <w:b/>
      <w:bCs/>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autoRedefine/>
    <w:qFormat/>
    <w:uiPriority w:val="0"/>
  </w:style>
  <w:style w:type="character" w:styleId="26">
    <w:name w:val="Hyperlink"/>
    <w:basedOn w:val="24"/>
    <w:autoRedefine/>
    <w:unhideWhenUsed/>
    <w:qFormat/>
    <w:uiPriority w:val="99"/>
    <w:rPr>
      <w:color w:val="0563C1" w:themeColor="hyperlink"/>
      <w:u w:val="single"/>
      <w14:textFill>
        <w14:solidFill>
          <w14:schemeClr w14:val="hlink"/>
        </w14:solidFill>
      </w14:textFill>
    </w:rPr>
  </w:style>
  <w:style w:type="character" w:styleId="27">
    <w:name w:val="annotation reference"/>
    <w:basedOn w:val="24"/>
    <w:autoRedefine/>
    <w:qFormat/>
    <w:uiPriority w:val="99"/>
    <w:rPr>
      <w:sz w:val="21"/>
      <w:szCs w:val="21"/>
    </w:rPr>
  </w:style>
  <w:style w:type="paragraph" w:customStyle="1" w:styleId="28">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paragraph" w:customStyle="1" w:styleId="29">
    <w:name w:val="Index8"/>
    <w:basedOn w:val="1"/>
    <w:next w:val="1"/>
    <w:autoRedefine/>
    <w:qFormat/>
    <w:uiPriority w:val="0"/>
    <w:pPr>
      <w:widowControl w:val="0"/>
      <w:adjustRightInd/>
      <w:snapToGrid/>
      <w:spacing w:after="0" w:line="276" w:lineRule="auto"/>
      <w:jc w:val="both"/>
    </w:pPr>
    <w:rPr>
      <w:rFonts w:ascii="Times New Roman" w:hAnsi="Times New Roman" w:eastAsia="宋体" w:cs="Times New Roman"/>
      <w:color w:val="FF0000"/>
      <w:kern w:val="2"/>
      <w:sz w:val="21"/>
      <w:szCs w:val="21"/>
    </w:rPr>
  </w:style>
  <w:style w:type="paragraph" w:customStyle="1" w:styleId="30">
    <w:name w:val="WPSOffice手动目录 1"/>
    <w:autoRedefine/>
    <w:qFormat/>
    <w:uiPriority w:val="0"/>
    <w:rPr>
      <w:rFonts w:ascii="Times New Roman" w:hAnsi="Times New Roman" w:eastAsia="宋体" w:cs="Times New Roman"/>
      <w:lang w:val="en-US" w:eastAsia="zh-CN" w:bidi="ar-SA"/>
    </w:rPr>
  </w:style>
  <w:style w:type="paragraph" w:customStyle="1" w:styleId="31">
    <w:name w:val="列出段落1"/>
    <w:basedOn w:val="1"/>
    <w:autoRedefine/>
    <w:qFormat/>
    <w:uiPriority w:val="34"/>
    <w:pPr>
      <w:ind w:firstLine="420" w:firstLineChars="200"/>
    </w:pPr>
  </w:style>
  <w:style w:type="character" w:customStyle="1" w:styleId="32">
    <w:name w:val="批注框文本 字符"/>
    <w:basedOn w:val="24"/>
    <w:link w:val="12"/>
    <w:autoRedefine/>
    <w:qFormat/>
    <w:uiPriority w:val="0"/>
    <w:rPr>
      <w:rFonts w:ascii="Tahoma" w:hAnsi="Tahoma" w:eastAsia="微软雅黑"/>
      <w:sz w:val="18"/>
      <w:szCs w:val="18"/>
    </w:rPr>
  </w:style>
  <w:style w:type="character" w:customStyle="1" w:styleId="33">
    <w:name w:val="批注文字 字符"/>
    <w:basedOn w:val="24"/>
    <w:link w:val="9"/>
    <w:autoRedefine/>
    <w:qFormat/>
    <w:uiPriority w:val="0"/>
    <w:rPr>
      <w:rFonts w:ascii="Times New Roman" w:hAnsi="Times New Roman" w:eastAsia="微软雅黑"/>
      <w:sz w:val="22"/>
      <w:szCs w:val="22"/>
    </w:rPr>
  </w:style>
  <w:style w:type="character" w:customStyle="1" w:styleId="34">
    <w:name w:val="批注主题 字符"/>
    <w:basedOn w:val="33"/>
    <w:link w:val="21"/>
    <w:autoRedefine/>
    <w:qFormat/>
    <w:uiPriority w:val="0"/>
    <w:rPr>
      <w:rFonts w:ascii="Tahoma" w:hAnsi="Tahoma" w:eastAsia="微软雅黑"/>
      <w:b/>
      <w:bCs/>
      <w:sz w:val="22"/>
      <w:szCs w:val="22"/>
    </w:rPr>
  </w:style>
  <w:style w:type="character" w:customStyle="1" w:styleId="35">
    <w:name w:val="标题 1 字符"/>
    <w:basedOn w:val="24"/>
    <w:link w:val="5"/>
    <w:autoRedefine/>
    <w:qFormat/>
    <w:uiPriority w:val="0"/>
    <w:rPr>
      <w:rFonts w:ascii="Tahoma" w:hAnsi="Tahoma" w:eastAsia="仿宋_GB2312" w:cs="Times New Roman"/>
      <w:b/>
      <w:sz w:val="30"/>
      <w:szCs w:val="22"/>
    </w:rPr>
  </w:style>
  <w:style w:type="character" w:customStyle="1" w:styleId="36">
    <w:name w:val="正文文本缩进 3 字符"/>
    <w:basedOn w:val="24"/>
    <w:link w:val="17"/>
    <w:autoRedefine/>
    <w:qFormat/>
    <w:uiPriority w:val="0"/>
    <w:rPr>
      <w:rFonts w:ascii="Tahoma" w:hAnsi="Tahoma" w:eastAsia="微软雅黑"/>
      <w:sz w:val="16"/>
      <w:szCs w:val="16"/>
    </w:rPr>
  </w:style>
  <w:style w:type="character" w:customStyle="1" w:styleId="37">
    <w:name w:val="正文文本缩进 2 字符"/>
    <w:basedOn w:val="24"/>
    <w:link w:val="11"/>
    <w:autoRedefine/>
    <w:qFormat/>
    <w:uiPriority w:val="0"/>
    <w:rPr>
      <w:rFonts w:ascii="Tahoma" w:hAnsi="Tahoma" w:eastAsia="微软雅黑"/>
      <w:sz w:val="22"/>
      <w:szCs w:val="22"/>
    </w:rPr>
  </w:style>
  <w:style w:type="character" w:customStyle="1" w:styleId="38">
    <w:name w:val="标题 2 字符"/>
    <w:basedOn w:val="24"/>
    <w:link w:val="6"/>
    <w:autoRedefine/>
    <w:qFormat/>
    <w:uiPriority w:val="9"/>
    <w:rPr>
      <w:rFonts w:ascii="Tahoma" w:hAnsi="Tahoma" w:eastAsia="仿宋_GB2312" w:cs="Times New Roman"/>
      <w:b/>
      <w:sz w:val="30"/>
      <w:szCs w:val="22"/>
    </w:rPr>
  </w:style>
  <w:style w:type="paragraph" w:customStyle="1" w:styleId="39">
    <w:name w:val="修订1"/>
    <w:autoRedefine/>
    <w:hidden/>
    <w:semiHidden/>
    <w:qFormat/>
    <w:uiPriority w:val="99"/>
    <w:rPr>
      <w:rFonts w:ascii="Tahoma" w:hAnsi="Tahoma" w:eastAsia="微软雅黑" w:cstheme="minorBidi"/>
      <w:sz w:val="22"/>
      <w:szCs w:val="22"/>
      <w:lang w:val="en-US" w:eastAsia="zh-CN" w:bidi="ar-SA"/>
    </w:rPr>
  </w:style>
  <w:style w:type="paragraph" w:customStyle="1" w:styleId="40">
    <w:name w:val="GW-正文"/>
    <w:basedOn w:val="1"/>
    <w:link w:val="41"/>
    <w:autoRedefine/>
    <w:qFormat/>
    <w:uiPriority w:val="0"/>
    <w:pPr>
      <w:widowControl w:val="0"/>
      <w:adjustRightInd/>
      <w:snapToGrid/>
      <w:spacing w:after="0" w:line="360" w:lineRule="auto"/>
      <w:ind w:firstLine="200" w:firstLineChars="200"/>
      <w:jc w:val="both"/>
    </w:pPr>
    <w:rPr>
      <w:rFonts w:ascii="Calibri" w:hAnsi="Calibri" w:eastAsia="仿宋_GB2312" w:cs="Times New Roman"/>
      <w:kern w:val="2"/>
      <w:sz w:val="24"/>
      <w:szCs w:val="24"/>
    </w:rPr>
  </w:style>
  <w:style w:type="character" w:customStyle="1" w:styleId="41">
    <w:name w:val="GW-正文 Char"/>
    <w:link w:val="40"/>
    <w:autoRedefine/>
    <w:qFormat/>
    <w:uiPriority w:val="0"/>
    <w:rPr>
      <w:rFonts w:ascii="Calibri" w:hAnsi="Calibri" w:eastAsia="仿宋_GB2312"/>
      <w:kern w:val="2"/>
      <w:sz w:val="24"/>
      <w:szCs w:val="24"/>
    </w:rPr>
  </w:style>
  <w:style w:type="paragraph" w:customStyle="1" w:styleId="42">
    <w:name w:val="List Paragraph"/>
    <w:basedOn w:val="1"/>
    <w:autoRedefine/>
    <w:qFormat/>
    <w:uiPriority w:val="99"/>
    <w:pPr>
      <w:ind w:firstLine="420" w:firstLineChars="200"/>
    </w:pPr>
  </w:style>
  <w:style w:type="character" w:customStyle="1" w:styleId="43">
    <w:name w:val="文档结构图 字符"/>
    <w:link w:val="8"/>
    <w:autoRedefine/>
    <w:qFormat/>
    <w:uiPriority w:val="0"/>
    <w:rPr>
      <w:rFonts w:ascii="宋体"/>
      <w:kern w:val="2"/>
      <w:sz w:val="18"/>
      <w:szCs w:val="18"/>
    </w:rPr>
  </w:style>
  <w:style w:type="character" w:customStyle="1" w:styleId="44">
    <w:name w:val="文档结构图 Char1"/>
    <w:basedOn w:val="24"/>
    <w:autoRedefine/>
    <w:qFormat/>
    <w:uiPriority w:val="0"/>
    <w:rPr>
      <w:rFonts w:ascii="Microsoft YaHei UI" w:hAnsi="Tahoma" w:eastAsia="Microsoft YaHei UI" w:cstheme="minorBidi"/>
      <w:sz w:val="18"/>
      <w:szCs w:val="18"/>
    </w:rPr>
  </w:style>
  <w:style w:type="paragraph" w:customStyle="1" w:styleId="45">
    <w:name w:val="Table Paragraph"/>
    <w:basedOn w:val="1"/>
    <w:autoRedefine/>
    <w:qFormat/>
    <w:uiPriority w:val="1"/>
    <w:pPr>
      <w:widowControl w:val="0"/>
      <w:adjustRightInd/>
      <w:snapToGrid/>
      <w:spacing w:after="0"/>
    </w:pPr>
    <w:rPr>
      <w:rFonts w:ascii="Calibri" w:hAnsi="Calibri" w:eastAsia="宋体" w:cs="Times New Roman"/>
      <w:lang w:eastAsia="en-US"/>
    </w:rPr>
  </w:style>
  <w:style w:type="paragraph" w:customStyle="1" w:styleId="46">
    <w:name w:val="TOC 标题1"/>
    <w:basedOn w:val="5"/>
    <w:next w:val="1"/>
    <w:autoRedefine/>
    <w:unhideWhenUsed/>
    <w:qFormat/>
    <w:uiPriority w:val="39"/>
    <w:pPr>
      <w:keepNext/>
      <w:keepLines/>
      <w:adjustRightInd/>
      <w:snapToGrid/>
      <w:spacing w:before="240" w:after="0" w:line="259" w:lineRule="auto"/>
      <w:outlineLvl w:val="9"/>
    </w:pPr>
    <w:rPr>
      <w:rFonts w:asciiTheme="majorHAnsi" w:hAnsiTheme="majorHAnsi" w:eastAsiaTheme="majorEastAsia" w:cstheme="majorBidi"/>
      <w:color w:val="2E75B6" w:themeColor="accent1" w:themeShade="BF"/>
      <w:sz w:val="32"/>
      <w:szCs w:val="32"/>
    </w:rPr>
  </w:style>
  <w:style w:type="character" w:customStyle="1" w:styleId="47">
    <w:name w:val="页脚 字符"/>
    <w:basedOn w:val="24"/>
    <w:link w:val="13"/>
    <w:autoRedefine/>
    <w:qFormat/>
    <w:uiPriority w:val="99"/>
    <w:rPr>
      <w:rFonts w:ascii="Tahoma" w:hAnsi="Tahoma" w:eastAsia="微软雅黑" w:cstheme="minorBidi"/>
      <w:sz w:val="18"/>
      <w:szCs w:val="18"/>
    </w:rPr>
  </w:style>
  <w:style w:type="character" w:customStyle="1" w:styleId="48">
    <w:name w:val="正文首行缩进 2 字符"/>
    <w:basedOn w:val="49"/>
    <w:link w:val="2"/>
    <w:autoRedefine/>
    <w:qFormat/>
    <w:uiPriority w:val="0"/>
    <w:rPr>
      <w:rFonts w:hint="default" w:ascii="??" w:hAnsi="??" w:eastAsia="??" w:cs="??"/>
      <w:kern w:val="2"/>
      <w:sz w:val="21"/>
      <w:szCs w:val="22"/>
    </w:rPr>
  </w:style>
  <w:style w:type="character" w:customStyle="1" w:styleId="49">
    <w:name w:val="正文文本缩进 字符"/>
    <w:basedOn w:val="24"/>
    <w:link w:val="3"/>
    <w:autoRedefine/>
    <w:qFormat/>
    <w:uiPriority w:val="0"/>
    <w:rPr>
      <w:rFonts w:hint="default" w:ascii="??" w:hAnsi="??" w:eastAsia="??" w:cs="??"/>
      <w:kern w:val="2"/>
      <w:sz w:val="21"/>
      <w:szCs w:val="22"/>
    </w:rPr>
  </w:style>
  <w:style w:type="paragraph" w:customStyle="1" w:styleId="50">
    <w:name w:val="正文文本缩进 2 Char Char"/>
    <w:basedOn w:val="1"/>
    <w:qFormat/>
    <w:uiPriority w:val="99"/>
    <w:pPr>
      <w:spacing w:line="480" w:lineRule="exact"/>
      <w:ind w:firstLine="560" w:firstLineChars="200"/>
    </w:pPr>
    <w:rPr>
      <w:rFonts w:cs="Times New Roman" w:asciiTheme="minorHAnsi" w:hAnsiTheme="minorHAnsi" w:eastAsiaTheme="minorEastAsi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2825C-93EF-45BC-8DD8-D3911FEB264D}">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42</Pages>
  <Words>14228</Words>
  <Characters>14573</Characters>
  <Lines>117</Lines>
  <Paragraphs>33</Paragraphs>
  <TotalTime>5</TotalTime>
  <ScaleCrop>false</ScaleCrop>
  <LinksUpToDate>false</LinksUpToDate>
  <CharactersWithSpaces>15634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2022-02-27T09:03:00Z</dcterms:created>
  <dc:creator>徐驰</dc:creator>
  <cp:lastModifiedBy>创企科技</cp:lastModifiedBy>
  <cp:lastPrinted>2022-02-24T08:07:00Z</cp:lastPrinted>
  <dcterms:modified xsi:type="dcterms:W3CDTF">2024-01-12T09:53:39Z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B123713792114771AD553C24D93090E4_13</vt:lpwstr>
  </property>
</Properties>
</file>