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eastAsia="方正小标宋简体"/>
          <w:b/>
          <w:kern w:val="2"/>
          <w:sz w:val="44"/>
          <w:szCs w:val="44"/>
        </w:rPr>
      </w:pPr>
    </w:p>
    <w:p>
      <w:pPr>
        <w:spacing w:line="500" w:lineRule="exact"/>
        <w:jc w:val="center"/>
        <w:rPr>
          <w:rFonts w:ascii="方正小标宋简体" w:hAnsi="黑体" w:eastAsia="方正小标宋简体" w:cs="黑体"/>
          <w:kern w:val="2"/>
          <w:sz w:val="44"/>
          <w:szCs w:val="44"/>
        </w:rPr>
      </w:pPr>
      <w:r>
        <w:rPr>
          <w:rFonts w:hint="eastAsia" w:ascii="方正小标宋简体" w:hAnsi="黑体" w:eastAsia="方正小标宋简体" w:cs="黑体"/>
          <w:kern w:val="2"/>
          <w:sz w:val="44"/>
          <w:szCs w:val="44"/>
        </w:rPr>
        <w:t>四川蜀道铁路运营管理集团有限责任公司</w:t>
      </w:r>
    </w:p>
    <w:p>
      <w:pPr>
        <w:spacing w:line="500" w:lineRule="exact"/>
        <w:jc w:val="center"/>
        <w:rPr>
          <w:rFonts w:ascii="方正小标宋简体" w:hAnsi="黑体" w:eastAsia="方正小标宋简体" w:cs="黑体"/>
          <w:kern w:val="2"/>
          <w:sz w:val="44"/>
          <w:szCs w:val="44"/>
        </w:rPr>
      </w:pPr>
      <w:r>
        <w:rPr>
          <w:rFonts w:hint="eastAsia" w:ascii="方正小标宋简体" w:hAnsi="黑体" w:eastAsia="方正小标宋简体" w:cs="黑体"/>
          <w:kern w:val="2"/>
          <w:sz w:val="44"/>
          <w:szCs w:val="44"/>
        </w:rPr>
        <w:t>税务顾问服务项目</w:t>
      </w:r>
    </w:p>
    <w:p>
      <w:pPr>
        <w:jc w:val="center"/>
        <w:rPr>
          <w:rFonts w:ascii="方正小标宋简体" w:hAnsi="黑体" w:eastAsia="方正小标宋简体" w:cs="黑体"/>
          <w:kern w:val="2"/>
          <w:sz w:val="44"/>
          <w:szCs w:val="44"/>
        </w:rPr>
      </w:pPr>
    </w:p>
    <w:p>
      <w:pPr>
        <w:jc w:val="center"/>
        <w:rPr>
          <w:rFonts w:ascii="方正小标宋简体" w:hAnsi="黑体" w:eastAsia="方正小标宋简体" w:cs="黑体"/>
          <w:sz w:val="84"/>
        </w:rPr>
      </w:pPr>
    </w:p>
    <w:p>
      <w:pPr>
        <w:pStyle w:val="2"/>
        <w:ind w:left="0" w:leftChars="0" w:firstLine="0" w:firstLineChars="0"/>
        <w:rPr>
          <w:rFonts w:ascii="方正小标宋简体" w:hAnsi="黑体" w:eastAsia="方正小标宋简体" w:cs="黑体"/>
        </w:rPr>
      </w:pPr>
    </w:p>
    <w:p>
      <w:pPr>
        <w:jc w:val="center"/>
        <w:rPr>
          <w:rFonts w:ascii="方正小标宋简体" w:hAnsi="黑体" w:eastAsia="方正小标宋简体" w:cs="黑体"/>
          <w:kern w:val="2"/>
          <w:sz w:val="84"/>
          <w:szCs w:val="84"/>
        </w:rPr>
      </w:pPr>
      <w:r>
        <w:rPr>
          <w:rFonts w:hint="eastAsia" w:ascii="方正小标宋简体" w:hAnsi="黑体" w:eastAsia="方正小标宋简体" w:cs="黑体"/>
          <w:kern w:val="2"/>
          <w:sz w:val="84"/>
          <w:szCs w:val="84"/>
        </w:rPr>
        <w:t>比 选 文 件</w:t>
      </w:r>
    </w:p>
    <w:p>
      <w:pPr>
        <w:pStyle w:val="2"/>
        <w:ind w:left="440" w:firstLine="440"/>
        <w:rPr>
          <w:rFonts w:ascii="方正小标宋简体" w:eastAsia="方正小标宋简体"/>
        </w:rPr>
      </w:pPr>
    </w:p>
    <w:p>
      <w:pPr>
        <w:jc w:val="center"/>
        <w:rPr>
          <w:rFonts w:ascii="方正小标宋简体" w:hAnsi="宋体" w:eastAsia="方正小标宋简体" w:cs="宋体"/>
          <w:sz w:val="84"/>
        </w:rPr>
      </w:pPr>
    </w:p>
    <w:p>
      <w:pPr>
        <w:pStyle w:val="2"/>
        <w:ind w:left="440" w:firstLine="440"/>
        <w:rPr>
          <w:rFonts w:ascii="方正小标宋简体" w:hAnsi="宋体" w:eastAsia="方正小标宋简体" w:cs="宋体"/>
        </w:rPr>
      </w:pPr>
    </w:p>
    <w:p>
      <w:pPr>
        <w:pStyle w:val="2"/>
        <w:ind w:left="440" w:firstLine="440"/>
        <w:rPr>
          <w:rFonts w:ascii="方正小标宋简体" w:hAnsi="宋体" w:eastAsia="方正小标宋简体" w:cs="宋体"/>
        </w:rPr>
      </w:pPr>
    </w:p>
    <w:p>
      <w:pPr>
        <w:rPr>
          <w:rFonts w:ascii="方正小标宋简体" w:hAnsi="宋体" w:eastAsia="方正小标宋简体" w:cs="宋体"/>
          <w:sz w:val="32"/>
          <w:szCs w:val="32"/>
        </w:rPr>
      </w:pPr>
    </w:p>
    <w:p>
      <w:pPr>
        <w:spacing w:line="500" w:lineRule="exact"/>
        <w:jc w:val="center"/>
        <w:rPr>
          <w:rFonts w:ascii="方正小标宋简体" w:eastAsia="方正小标宋简体"/>
          <w:kern w:val="2"/>
          <w:sz w:val="32"/>
          <w:szCs w:val="32"/>
        </w:rPr>
      </w:pPr>
      <w:r>
        <w:rPr>
          <w:rFonts w:hint="eastAsia" w:ascii="方正小标宋简体" w:eastAsia="方正小标宋简体"/>
          <w:kern w:val="2"/>
          <w:sz w:val="32"/>
          <w:szCs w:val="32"/>
        </w:rPr>
        <w:t>比选人:</w:t>
      </w:r>
      <w:r>
        <w:rPr>
          <w:rFonts w:hint="eastAsia"/>
        </w:rPr>
        <w:t xml:space="preserve"> </w:t>
      </w:r>
      <w:r>
        <w:rPr>
          <w:rFonts w:hint="eastAsia" w:ascii="方正小标宋简体" w:eastAsia="方正小标宋简体"/>
          <w:kern w:val="2"/>
          <w:sz w:val="32"/>
          <w:szCs w:val="32"/>
        </w:rPr>
        <w:t>四川蜀道铁路运营管理集团有限责任公司</w:t>
      </w:r>
    </w:p>
    <w:p>
      <w:pPr>
        <w:autoSpaceDE w:val="0"/>
        <w:autoSpaceDN w:val="0"/>
        <w:spacing w:line="300" w:lineRule="exact"/>
        <w:jc w:val="center"/>
        <w:rPr>
          <w:rFonts w:ascii="方正小标宋简体" w:hAnsi="黑体" w:eastAsia="方正小标宋简体" w:cs="黑体"/>
          <w:sz w:val="40"/>
          <w:szCs w:val="40"/>
        </w:rPr>
      </w:pPr>
    </w:p>
    <w:p>
      <w:pPr>
        <w:autoSpaceDE w:val="0"/>
        <w:autoSpaceDN w:val="0"/>
        <w:jc w:val="center"/>
        <w:rPr>
          <w:rFonts w:ascii="方正小标宋简体" w:hAnsi="黑体" w:eastAsia="方正小标宋简体" w:cs="黑体"/>
          <w:kern w:val="2"/>
          <w:sz w:val="32"/>
          <w:szCs w:val="32"/>
        </w:rPr>
      </w:pPr>
      <w:r>
        <w:rPr>
          <w:rFonts w:hint="eastAsia" w:ascii="方正小标宋简体" w:hAnsi="黑体" w:eastAsia="方正小标宋简体" w:cs="黑体"/>
          <w:kern w:val="2"/>
          <w:sz w:val="32"/>
          <w:szCs w:val="32"/>
          <w:lang w:val="en-US" w:eastAsia="zh-CN"/>
        </w:rPr>
        <w:t>2024</w:t>
      </w:r>
      <w:r>
        <w:rPr>
          <w:rFonts w:hint="eastAsia" w:ascii="方正小标宋简体" w:hAnsi="黑体" w:eastAsia="方正小标宋简体" w:cs="黑体"/>
          <w:kern w:val="2"/>
          <w:sz w:val="32"/>
          <w:szCs w:val="32"/>
        </w:rPr>
        <w:t>年</w:t>
      </w:r>
      <w:r>
        <w:rPr>
          <w:rFonts w:hint="eastAsia" w:ascii="方正小标宋简体" w:hAnsi="黑体" w:eastAsia="方正小标宋简体" w:cs="黑体"/>
          <w:kern w:val="2"/>
          <w:sz w:val="32"/>
          <w:szCs w:val="32"/>
          <w:lang w:val="en-US" w:eastAsia="zh-CN"/>
        </w:rPr>
        <w:t>1</w:t>
      </w:r>
      <w:r>
        <w:rPr>
          <w:rFonts w:hint="eastAsia" w:ascii="方正小标宋简体" w:hAnsi="黑体" w:eastAsia="方正小标宋简体" w:cs="黑体"/>
          <w:kern w:val="2"/>
          <w:sz w:val="32"/>
          <w:szCs w:val="32"/>
        </w:rPr>
        <w:t>月 成都</w:t>
      </w:r>
    </w:p>
    <w:p>
      <w:pPr>
        <w:spacing w:line="360" w:lineRule="auto"/>
        <w:jc w:val="center"/>
        <w:outlineLvl w:val="0"/>
        <w:rPr>
          <w:rFonts w:ascii="宋体" w:hAnsi="宋体" w:cs="宋体"/>
          <w:b/>
          <w:sz w:val="44"/>
          <w:szCs w:val="44"/>
          <w:highlight w:val="yellow"/>
        </w:rPr>
        <w:sectPr>
          <w:footerReference r:id="rId4" w:type="first"/>
          <w:pgSz w:w="11906" w:h="16838"/>
          <w:pgMar w:top="2098" w:right="1474" w:bottom="1984" w:left="1587" w:header="851" w:footer="992" w:gutter="0"/>
          <w:pgNumType w:fmt="numberInDash"/>
          <w:cols w:space="720" w:num="1"/>
          <w:rtlGutter w:val="0"/>
          <w:docGrid w:linePitch="312" w:charSpace="0"/>
        </w:sectPr>
      </w:pPr>
    </w:p>
    <w:p>
      <w:pPr>
        <w:pStyle w:val="2"/>
        <w:ind w:left="440" w:firstLine="440"/>
      </w:pPr>
      <w:bookmarkStart w:id="0" w:name="_Toc25051_WPSOffice_Type1"/>
    </w:p>
    <w:sdt>
      <w:sdtPr>
        <w:rPr>
          <w:rFonts w:ascii="Tahoma" w:hAnsi="Tahoma" w:eastAsia="微软雅黑" w:cstheme="minorBidi"/>
          <w:color w:val="auto"/>
          <w:sz w:val="22"/>
          <w:szCs w:val="22"/>
          <w:lang w:val="zh-CN"/>
        </w:rPr>
        <w:id w:val="1878354199"/>
      </w:sdtPr>
      <w:sdtEndPr>
        <w:rPr>
          <w:rFonts w:ascii="Tahoma" w:hAnsi="Tahoma" w:eastAsia="微软雅黑" w:cstheme="minorBidi"/>
          <w:b/>
          <w:bCs/>
          <w:color w:val="auto"/>
          <w:sz w:val="22"/>
          <w:szCs w:val="22"/>
          <w:lang w:val="zh-CN"/>
        </w:rPr>
      </w:sdtEndPr>
      <w:sdtContent>
        <w:p>
          <w:pPr>
            <w:pStyle w:val="46"/>
            <w:jc w:val="center"/>
            <w:rPr>
              <w:rFonts w:ascii="仿宋_GB2312" w:eastAsia="仿宋_GB2312"/>
              <w:b/>
              <w:color w:val="auto"/>
              <w:sz w:val="36"/>
              <w:lang w:val="zh-CN"/>
            </w:rPr>
          </w:pPr>
          <w:r>
            <w:rPr>
              <w:rFonts w:hint="eastAsia" w:ascii="仿宋_GB2312" w:eastAsia="仿宋_GB2312"/>
              <w:b/>
              <w:color w:val="auto"/>
              <w:sz w:val="36"/>
              <w:lang w:val="zh-CN"/>
            </w:rPr>
            <w:t>目  录</w:t>
          </w:r>
        </w:p>
        <w:p>
          <w:pPr>
            <w:rPr>
              <w:lang w:val="zh-CN"/>
            </w:rPr>
          </w:pPr>
        </w:p>
        <w:p>
          <w:pPr>
            <w:pStyle w:val="15"/>
            <w:tabs>
              <w:tab w:val="right" w:leader="dot" w:pos="8296"/>
            </w:tabs>
            <w:spacing w:line="480" w:lineRule="auto"/>
            <w:rPr>
              <w:rFonts w:ascii="仿宋_GB2312" w:eastAsia="仿宋_GB2312" w:hAnsiTheme="minorHAnsi"/>
              <w:b/>
              <w:kern w:val="2"/>
              <w:sz w:val="28"/>
              <w:szCs w:val="28"/>
            </w:rPr>
          </w:pPr>
          <w:r>
            <w:rPr>
              <w:rFonts w:hint="eastAsia" w:ascii="仿宋_GB2312" w:eastAsia="仿宋_GB2312"/>
              <w:b/>
              <w:sz w:val="28"/>
              <w:szCs w:val="28"/>
            </w:rPr>
            <w:fldChar w:fldCharType="begin"/>
          </w:r>
          <w:r>
            <w:rPr>
              <w:rFonts w:hint="eastAsia" w:ascii="仿宋_GB2312" w:eastAsia="仿宋_GB2312"/>
              <w:b/>
              <w:sz w:val="28"/>
              <w:szCs w:val="28"/>
            </w:rPr>
            <w:instrText xml:space="preserve"> TOC \o "1-3" \h \z \u </w:instrText>
          </w:r>
          <w:r>
            <w:rPr>
              <w:rFonts w:hint="eastAsia" w:ascii="仿宋_GB2312" w:eastAsia="仿宋_GB2312"/>
              <w:b/>
              <w:sz w:val="28"/>
              <w:szCs w:val="28"/>
            </w:rPr>
            <w:fldChar w:fldCharType="separate"/>
          </w:r>
          <w:r>
            <w:fldChar w:fldCharType="begin"/>
          </w:r>
          <w:r>
            <w:instrText xml:space="preserve"> HYPERLINK \l "_Toc96874880" </w:instrText>
          </w:r>
          <w:r>
            <w:fldChar w:fldCharType="separate"/>
          </w:r>
          <w:r>
            <w:rPr>
              <w:rStyle w:val="26"/>
              <w:rFonts w:hint="eastAsia" w:ascii="仿宋_GB2312" w:hAnsi="方正小标宋简体" w:eastAsia="仿宋_GB2312" w:cs="方正小标宋简体"/>
              <w:b/>
              <w:bCs/>
              <w:kern w:val="44"/>
              <w:sz w:val="28"/>
              <w:szCs w:val="28"/>
            </w:rPr>
            <w:t>第一章  比选公告</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_Toc96874880 \h </w:instrText>
          </w:r>
          <w:r>
            <w:rPr>
              <w:rFonts w:hint="eastAsia" w:ascii="仿宋_GB2312" w:eastAsia="仿宋_GB2312"/>
              <w:b/>
              <w:sz w:val="28"/>
              <w:szCs w:val="28"/>
            </w:rPr>
            <w:fldChar w:fldCharType="separate"/>
          </w:r>
          <w:r>
            <w:rPr>
              <w:rFonts w:ascii="仿宋_GB2312" w:eastAsia="仿宋_GB2312"/>
              <w:b/>
              <w:sz w:val="28"/>
              <w:szCs w:val="28"/>
            </w:rPr>
            <w:t>1</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5"/>
            <w:tabs>
              <w:tab w:val="right" w:leader="dot" w:pos="8296"/>
            </w:tabs>
            <w:spacing w:line="480" w:lineRule="auto"/>
            <w:rPr>
              <w:rFonts w:ascii="仿宋_GB2312" w:eastAsia="仿宋_GB2312" w:hAnsiTheme="minorHAnsi"/>
              <w:b/>
              <w:kern w:val="2"/>
              <w:sz w:val="28"/>
              <w:szCs w:val="28"/>
            </w:rPr>
          </w:pPr>
          <w:r>
            <w:fldChar w:fldCharType="begin"/>
          </w:r>
          <w:r>
            <w:instrText xml:space="preserve"> HYPERLINK \l "_Toc96874881" </w:instrText>
          </w:r>
          <w:r>
            <w:fldChar w:fldCharType="separate"/>
          </w:r>
          <w:r>
            <w:rPr>
              <w:rStyle w:val="26"/>
              <w:rFonts w:hint="eastAsia" w:ascii="仿宋_GB2312" w:hAnsi="方正小标宋简体" w:eastAsia="仿宋_GB2312" w:cs="方正小标宋简体"/>
              <w:b/>
              <w:bCs/>
              <w:kern w:val="44"/>
              <w:sz w:val="28"/>
              <w:szCs w:val="28"/>
            </w:rPr>
            <w:t>第二章  比选申请人须知</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_Toc96874881 \h </w:instrText>
          </w:r>
          <w:r>
            <w:rPr>
              <w:rFonts w:hint="eastAsia" w:ascii="仿宋_GB2312" w:eastAsia="仿宋_GB2312"/>
              <w:b/>
              <w:sz w:val="28"/>
              <w:szCs w:val="28"/>
            </w:rPr>
            <w:fldChar w:fldCharType="separate"/>
          </w:r>
          <w:r>
            <w:rPr>
              <w:rFonts w:ascii="仿宋_GB2312" w:eastAsia="仿宋_GB2312"/>
              <w:b/>
              <w:sz w:val="28"/>
              <w:szCs w:val="28"/>
            </w:rPr>
            <w:t>5</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5"/>
            <w:tabs>
              <w:tab w:val="right" w:leader="dot" w:pos="8296"/>
            </w:tabs>
            <w:spacing w:line="480" w:lineRule="auto"/>
            <w:rPr>
              <w:rFonts w:ascii="仿宋_GB2312" w:eastAsia="仿宋_GB2312" w:hAnsiTheme="minorHAnsi"/>
              <w:b/>
              <w:kern w:val="2"/>
              <w:sz w:val="28"/>
              <w:szCs w:val="28"/>
            </w:rPr>
          </w:pPr>
          <w:r>
            <w:fldChar w:fldCharType="begin"/>
          </w:r>
          <w:r>
            <w:instrText xml:space="preserve"> HYPERLINK \l "_Toc96874882" </w:instrText>
          </w:r>
          <w:r>
            <w:fldChar w:fldCharType="separate"/>
          </w:r>
          <w:r>
            <w:rPr>
              <w:rStyle w:val="26"/>
              <w:rFonts w:hint="eastAsia" w:ascii="仿宋_GB2312" w:hAnsi="方正小标宋简体" w:eastAsia="仿宋_GB2312" w:cs="方正小标宋简体"/>
              <w:b/>
              <w:bCs/>
              <w:kern w:val="44"/>
              <w:sz w:val="28"/>
              <w:szCs w:val="28"/>
            </w:rPr>
            <w:t>第三章  比选人要求</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_Toc96874882 \h </w:instrText>
          </w:r>
          <w:r>
            <w:rPr>
              <w:rFonts w:hint="eastAsia" w:ascii="仿宋_GB2312" w:eastAsia="仿宋_GB2312"/>
              <w:b/>
              <w:sz w:val="28"/>
              <w:szCs w:val="28"/>
            </w:rPr>
            <w:fldChar w:fldCharType="separate"/>
          </w:r>
          <w:r>
            <w:rPr>
              <w:rFonts w:ascii="仿宋_GB2312" w:eastAsia="仿宋_GB2312"/>
              <w:b/>
              <w:sz w:val="28"/>
              <w:szCs w:val="28"/>
            </w:rPr>
            <w:t>9</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5"/>
            <w:tabs>
              <w:tab w:val="right" w:leader="dot" w:pos="8296"/>
            </w:tabs>
            <w:spacing w:line="480" w:lineRule="auto"/>
            <w:rPr>
              <w:rFonts w:ascii="仿宋_GB2312" w:eastAsia="仿宋_GB2312" w:hAnsiTheme="minorHAnsi"/>
              <w:b/>
              <w:kern w:val="2"/>
              <w:sz w:val="28"/>
              <w:szCs w:val="28"/>
            </w:rPr>
          </w:pPr>
          <w:r>
            <w:fldChar w:fldCharType="begin"/>
          </w:r>
          <w:r>
            <w:instrText xml:space="preserve"> HYPERLINK \l "_Toc96874883" </w:instrText>
          </w:r>
          <w:r>
            <w:fldChar w:fldCharType="separate"/>
          </w:r>
          <w:r>
            <w:rPr>
              <w:rStyle w:val="26"/>
              <w:rFonts w:hint="eastAsia" w:ascii="仿宋_GB2312" w:hAnsi="方正小标宋简体" w:eastAsia="仿宋_GB2312" w:cs="方正小标宋简体"/>
              <w:b/>
              <w:bCs/>
              <w:kern w:val="44"/>
              <w:sz w:val="28"/>
              <w:szCs w:val="28"/>
            </w:rPr>
            <w:t>第四章  比选申请文件的格式</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_Toc96874883 \h </w:instrText>
          </w:r>
          <w:r>
            <w:rPr>
              <w:rFonts w:hint="eastAsia" w:ascii="仿宋_GB2312" w:eastAsia="仿宋_GB2312"/>
              <w:b/>
              <w:sz w:val="28"/>
              <w:szCs w:val="28"/>
            </w:rPr>
            <w:fldChar w:fldCharType="separate"/>
          </w:r>
          <w:r>
            <w:rPr>
              <w:rFonts w:ascii="仿宋_GB2312" w:eastAsia="仿宋_GB2312"/>
              <w:b/>
              <w:sz w:val="28"/>
              <w:szCs w:val="28"/>
            </w:rPr>
            <w:t>13</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5"/>
            <w:tabs>
              <w:tab w:val="right" w:leader="dot" w:pos="8296"/>
            </w:tabs>
            <w:spacing w:line="480" w:lineRule="auto"/>
            <w:rPr>
              <w:rFonts w:ascii="仿宋_GB2312" w:eastAsia="仿宋_GB2312" w:hAnsiTheme="minorHAnsi"/>
              <w:b/>
              <w:kern w:val="2"/>
              <w:sz w:val="28"/>
              <w:szCs w:val="28"/>
            </w:rPr>
          </w:pPr>
          <w:r>
            <w:fldChar w:fldCharType="begin"/>
          </w:r>
          <w:r>
            <w:instrText xml:space="preserve"> HYPERLINK \l "_Toc96874918" </w:instrText>
          </w:r>
          <w:r>
            <w:fldChar w:fldCharType="separate"/>
          </w:r>
          <w:r>
            <w:rPr>
              <w:rStyle w:val="26"/>
              <w:rFonts w:hint="eastAsia" w:ascii="仿宋_GB2312" w:hAnsi="方正小标宋简体" w:eastAsia="仿宋_GB2312" w:cs="方正小标宋简体"/>
              <w:b/>
              <w:bCs/>
              <w:kern w:val="44"/>
              <w:sz w:val="28"/>
              <w:szCs w:val="28"/>
            </w:rPr>
            <w:t>第五章  评审办法</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_Toc96874918 \h </w:instrText>
          </w:r>
          <w:r>
            <w:rPr>
              <w:rFonts w:hint="eastAsia" w:ascii="仿宋_GB2312" w:eastAsia="仿宋_GB2312"/>
              <w:b/>
              <w:sz w:val="28"/>
              <w:szCs w:val="28"/>
            </w:rPr>
            <w:fldChar w:fldCharType="separate"/>
          </w:r>
          <w:r>
            <w:rPr>
              <w:rFonts w:ascii="仿宋_GB2312" w:eastAsia="仿宋_GB2312"/>
              <w:b/>
              <w:sz w:val="28"/>
              <w:szCs w:val="28"/>
            </w:rPr>
            <w:t>29</w:t>
          </w:r>
          <w:r>
            <w:rPr>
              <w:rFonts w:hint="eastAsia" w:ascii="仿宋_GB2312" w:eastAsia="仿宋_GB2312"/>
              <w:b/>
              <w:sz w:val="28"/>
              <w:szCs w:val="28"/>
            </w:rPr>
            <w:fldChar w:fldCharType="end"/>
          </w:r>
          <w:r>
            <w:rPr>
              <w:rFonts w:hint="eastAsia" w:ascii="仿宋_GB2312" w:eastAsia="仿宋_GB2312"/>
              <w:b/>
              <w:sz w:val="28"/>
              <w:szCs w:val="28"/>
            </w:rPr>
            <w:fldChar w:fldCharType="end"/>
          </w:r>
        </w:p>
        <w:p>
          <w:pPr>
            <w:pStyle w:val="15"/>
            <w:tabs>
              <w:tab w:val="right" w:leader="dot" w:pos="8296"/>
            </w:tabs>
            <w:spacing w:line="480" w:lineRule="auto"/>
            <w:rPr>
              <w:rFonts w:ascii="仿宋_GB2312" w:eastAsia="仿宋_GB2312" w:hAnsiTheme="minorHAnsi"/>
              <w:b/>
              <w:kern w:val="2"/>
              <w:sz w:val="28"/>
              <w:szCs w:val="28"/>
            </w:rPr>
          </w:pPr>
          <w:r>
            <w:fldChar w:fldCharType="begin"/>
          </w:r>
          <w:r>
            <w:instrText xml:space="preserve"> HYPERLINK \l "_Toc96874919" </w:instrText>
          </w:r>
          <w:r>
            <w:fldChar w:fldCharType="separate"/>
          </w:r>
          <w:r>
            <w:rPr>
              <w:rStyle w:val="26"/>
              <w:rFonts w:hint="eastAsia" w:ascii="仿宋_GB2312" w:hAnsi="方正小标宋简体" w:eastAsia="仿宋_GB2312" w:cs="方正小标宋简体"/>
              <w:b/>
              <w:bCs/>
              <w:kern w:val="44"/>
              <w:sz w:val="28"/>
              <w:szCs w:val="28"/>
            </w:rPr>
            <w:t>第六章  合同模板</w:t>
          </w:r>
          <w:r>
            <w:rPr>
              <w:rFonts w:hint="eastAsia" w:ascii="仿宋_GB2312" w:eastAsia="仿宋_GB2312"/>
              <w:b/>
              <w:sz w:val="28"/>
              <w:szCs w:val="28"/>
            </w:rPr>
            <w:tab/>
          </w:r>
          <w:r>
            <w:rPr>
              <w:rFonts w:hint="eastAsia" w:ascii="仿宋_GB2312" w:eastAsia="仿宋_GB2312"/>
              <w:b/>
              <w:sz w:val="28"/>
              <w:szCs w:val="28"/>
            </w:rPr>
            <w:fldChar w:fldCharType="begin"/>
          </w:r>
          <w:r>
            <w:rPr>
              <w:rFonts w:hint="eastAsia" w:ascii="仿宋_GB2312" w:eastAsia="仿宋_GB2312"/>
              <w:b/>
              <w:sz w:val="28"/>
              <w:szCs w:val="28"/>
            </w:rPr>
            <w:instrText xml:space="preserve"> PAGEREF _Toc96874919 \h </w:instrText>
          </w:r>
          <w:r>
            <w:rPr>
              <w:rFonts w:hint="eastAsia" w:ascii="仿宋_GB2312" w:eastAsia="仿宋_GB2312"/>
              <w:b/>
              <w:sz w:val="28"/>
              <w:szCs w:val="28"/>
            </w:rPr>
            <w:fldChar w:fldCharType="separate"/>
          </w:r>
          <w:r>
            <w:rPr>
              <w:rFonts w:ascii="仿宋_GB2312" w:eastAsia="仿宋_GB2312"/>
              <w:b/>
              <w:sz w:val="28"/>
              <w:szCs w:val="28"/>
            </w:rPr>
            <w:t>35</w:t>
          </w:r>
          <w:r>
            <w:rPr>
              <w:rFonts w:hint="eastAsia" w:ascii="仿宋_GB2312" w:eastAsia="仿宋_GB2312"/>
              <w:b/>
              <w:sz w:val="28"/>
              <w:szCs w:val="28"/>
            </w:rPr>
            <w:fldChar w:fldCharType="end"/>
          </w:r>
          <w:r>
            <w:rPr>
              <w:rFonts w:hint="eastAsia" w:ascii="仿宋_GB2312" w:eastAsia="仿宋_GB2312"/>
              <w:b/>
              <w:sz w:val="28"/>
              <w:szCs w:val="28"/>
            </w:rPr>
            <w:fldChar w:fldCharType="end"/>
          </w:r>
        </w:p>
        <w:p>
          <w:r>
            <w:rPr>
              <w:rFonts w:hint="eastAsia" w:ascii="仿宋_GB2312" w:eastAsia="仿宋_GB2312"/>
              <w:b/>
              <w:bCs/>
              <w:sz w:val="28"/>
              <w:szCs w:val="28"/>
              <w:lang w:val="zh-CN"/>
            </w:rPr>
            <w:fldChar w:fldCharType="end"/>
          </w:r>
        </w:p>
      </w:sdtContent>
    </w:sdt>
    <w:bookmarkEnd w:id="0"/>
    <w:p>
      <w:pPr>
        <w:adjustRightInd/>
        <w:snapToGrid/>
        <w:spacing w:after="0"/>
        <w:rPr>
          <w:rFonts w:ascii="方正小标宋简体" w:hAnsi="方正小标宋简体" w:eastAsia="方正小标宋简体" w:cs="方正小标宋简体"/>
          <w:sz w:val="32"/>
          <w:szCs w:val="32"/>
        </w:rPr>
        <w:sectPr>
          <w:pgSz w:w="11906" w:h="16838"/>
          <w:pgMar w:top="2098" w:right="1474" w:bottom="1984" w:left="1587" w:header="851" w:footer="992" w:gutter="0"/>
          <w:pgNumType w:start="1"/>
          <w:cols w:space="425" w:num="1"/>
          <w:titlePg/>
          <w:rtlGutter w:val="0"/>
          <w:docGrid w:type="lines" w:linePitch="312" w:charSpace="0"/>
        </w:sectPr>
      </w:pPr>
    </w:p>
    <w:p>
      <w:pPr>
        <w:spacing w:after="0" w:line="500" w:lineRule="exact"/>
        <w:jc w:val="center"/>
        <w:outlineLvl w:val="0"/>
        <w:rPr>
          <w:rFonts w:ascii="方正小标宋简体" w:hAnsi="方正小标宋简体" w:eastAsia="方正小标宋简体" w:cs="方正小标宋简体"/>
          <w:bCs/>
          <w:kern w:val="44"/>
          <w:sz w:val="32"/>
          <w:szCs w:val="32"/>
        </w:rPr>
      </w:pPr>
      <w:bookmarkStart w:id="1" w:name="_Toc96874880"/>
      <w:r>
        <w:rPr>
          <w:rFonts w:hint="eastAsia" w:ascii="方正小标宋简体" w:hAnsi="方正小标宋简体" w:eastAsia="方正小标宋简体" w:cs="方正小标宋简体"/>
          <w:bCs/>
          <w:kern w:val="44"/>
          <w:sz w:val="44"/>
          <w:szCs w:val="44"/>
        </w:rPr>
        <w:t xml:space="preserve">第一章 </w:t>
      </w:r>
      <w:r>
        <w:rPr>
          <w:rFonts w:ascii="方正小标宋简体" w:hAnsi="方正小标宋简体" w:eastAsia="方正小标宋简体" w:cs="方正小标宋简体"/>
          <w:bCs/>
          <w:kern w:val="44"/>
          <w:sz w:val="44"/>
          <w:szCs w:val="44"/>
        </w:rPr>
        <w:t xml:space="preserve"> </w:t>
      </w:r>
      <w:r>
        <w:rPr>
          <w:rFonts w:hint="eastAsia" w:ascii="方正小标宋简体" w:hAnsi="方正小标宋简体" w:eastAsia="方正小标宋简体" w:cs="方正小标宋简体"/>
          <w:bCs/>
          <w:kern w:val="44"/>
          <w:sz w:val="44"/>
          <w:szCs w:val="44"/>
        </w:rPr>
        <w:t>比选公告</w:t>
      </w:r>
      <w:bookmarkEnd w:id="1"/>
    </w:p>
    <w:p>
      <w:pPr>
        <w:pStyle w:val="29"/>
      </w:pP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四川蜀道铁路运营管理集团有限责任公司（以下简称“蜀道铁路运营集团”或“公司”）拟选聘税务顾问服务，作为常年税务顾问服务，承担公司日常税务顾问服务工作。</w:t>
      </w:r>
      <w:bookmarkStart w:id="2" w:name="_Toc7177174"/>
      <w:r>
        <w:rPr>
          <w:rFonts w:hint="eastAsia" w:ascii="仿宋_GB2312" w:hAnsi="仿宋_GB2312" w:eastAsia="仿宋_GB2312" w:cs="仿宋_GB2312"/>
          <w:sz w:val="32"/>
          <w:szCs w:val="32"/>
        </w:rPr>
        <w:t>依据《四川省国资委及所出资企业中介机构选聘管理试行办法》（川国资委办[2019]9号）规定，由蜀道铁路运营集团作为比选人，采取公开比选方式面向社会选择法律服务机构。</w:t>
      </w:r>
    </w:p>
    <w:bookmarkEnd w:id="2"/>
    <w:p>
      <w:pPr>
        <w:numPr>
          <w:ilvl w:val="0"/>
          <w:numId w:val="1"/>
        </w:numPr>
        <w:spacing w:after="0" w:line="500" w:lineRule="exact"/>
        <w:ind w:firstLine="640" w:firstLineChars="200"/>
        <w:rPr>
          <w:rFonts w:ascii="黑体" w:hAnsi="黑体" w:eastAsia="黑体" w:cs="黑体"/>
          <w:sz w:val="32"/>
          <w:szCs w:val="32"/>
        </w:rPr>
      </w:pPr>
      <w:bookmarkStart w:id="3" w:name="_Toc7177175"/>
      <w:r>
        <w:rPr>
          <w:rFonts w:hint="eastAsia" w:ascii="黑体" w:hAnsi="黑体" w:eastAsia="黑体" w:cs="黑体"/>
          <w:sz w:val="32"/>
          <w:szCs w:val="32"/>
        </w:rPr>
        <w:t>公司简介及项目概况</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川蜀道铁路运营管理集团有限责任公司（以下简称“蜀道铁路运营集团”或“公司”），是蜀道投资集团有限责任公司的全资直属子企业，以专业化整合方式组建，于2021年12月29日揭牌成立，注册资本10亿元。蜀道铁路运营集团作为四川省唯一地方铁路特许经营企业，致力于打造蜀道铁路运营管理专业化平台，充分发挥合资铁路平台优势，积极布局铁路物流、沿线资源开发等多元经营产业，深挖产业链价值，打造新的利润增长极，有效支撑蜀道集团铁路产业高质量发展。</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为提高公司依法治企的能力，并在日常法律事务、重大投融资等领域发挥法律的护航作用，预防法律风险，蜀道铁路运营集团决定通过公开比选的方式，择优选择常年税务顾问咨询单位1家。</w:t>
      </w:r>
    </w:p>
    <w:bookmarkEnd w:id="3"/>
    <w:p>
      <w:pPr>
        <w:numPr>
          <w:ilvl w:val="0"/>
          <w:numId w:val="1"/>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比选范围及期限</w:t>
      </w:r>
    </w:p>
    <w:p>
      <w:pPr>
        <w:spacing w:after="0" w:line="50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（一）比选范围</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四川蜀道铁路运营管理集团有限责任公司税务顾问服务项目（项目名称）的工作服务范围包括:</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为甲方</w:t>
      </w:r>
      <w:r>
        <w:rPr>
          <w:rFonts w:hint="eastAsia" w:ascii="仿宋_GB2312" w:hAnsi="仿宋_GB2312" w:eastAsia="仿宋_GB2312" w:cs="仿宋_GB2312"/>
          <w:sz w:val="32"/>
          <w:szCs w:val="32"/>
          <w:lang w:val="en-US" w:eastAsia="zh-CN"/>
        </w:rPr>
        <w:t>蜀道铁路运营集团本部及所属公司</w:t>
      </w:r>
      <w:r>
        <w:rPr>
          <w:rFonts w:hint="eastAsia" w:ascii="仿宋_GB2312" w:hAnsi="仿宋_GB2312" w:eastAsia="仿宋_GB2312" w:cs="仿宋_GB2312"/>
          <w:sz w:val="32"/>
          <w:szCs w:val="32"/>
        </w:rPr>
        <w:t>提供税收管理理念、思路和方法的支持；</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协助甲方</w:t>
      </w:r>
      <w:r>
        <w:rPr>
          <w:rFonts w:hint="eastAsia" w:ascii="仿宋_GB2312" w:hAnsi="仿宋_GB2312" w:eastAsia="仿宋_GB2312" w:cs="仿宋_GB2312"/>
          <w:sz w:val="32"/>
          <w:szCs w:val="32"/>
          <w:lang w:val="en-US" w:eastAsia="zh-CN"/>
        </w:rPr>
        <w:t>蜀道铁路运营集团本部及所属公司</w:t>
      </w:r>
      <w:r>
        <w:rPr>
          <w:rFonts w:hint="eastAsia" w:ascii="仿宋_GB2312" w:hAnsi="仿宋_GB2312" w:eastAsia="仿宋_GB2312" w:cs="仿宋_GB2312"/>
          <w:sz w:val="32"/>
          <w:szCs w:val="32"/>
        </w:rPr>
        <w:t>财务做好税收风险管理，提升应对能力。乙方每季度派人到现场进行税收检查并出具报告；</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协助甲方</w:t>
      </w:r>
      <w:r>
        <w:rPr>
          <w:rFonts w:hint="eastAsia" w:ascii="仿宋_GB2312" w:hAnsi="仿宋_GB2312" w:eastAsia="仿宋_GB2312" w:cs="仿宋_GB2312"/>
          <w:sz w:val="32"/>
          <w:szCs w:val="32"/>
          <w:lang w:val="en-US" w:eastAsia="zh-CN"/>
        </w:rPr>
        <w:t>蜀道铁路运营集团本部及所属公司</w:t>
      </w:r>
      <w:r>
        <w:rPr>
          <w:rFonts w:hint="eastAsia" w:ascii="仿宋_GB2312" w:hAnsi="仿宋_GB2312" w:eastAsia="仿宋_GB2312" w:cs="仿宋_GB2312"/>
          <w:sz w:val="32"/>
          <w:szCs w:val="32"/>
        </w:rPr>
        <w:t>正确运用国家产业政策和财税政策，维护好税收合法权益。</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4.协助甲方整理税务档案。</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（二）服务期限</w:t>
      </w:r>
    </w:p>
    <w:p>
      <w:pPr>
        <w:spacing w:after="0" w:line="57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自合同签订之日起算，合同期限为</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一年一签，合同到期经甲方考核，考核过关可续签</w:t>
      </w:r>
      <w:r>
        <w:rPr>
          <w:rFonts w:hint="eastAsia" w:ascii="仿宋_GB2312" w:hAnsi="仿宋_GB2312" w:eastAsia="仿宋_GB2312" w:cs="仿宋_GB2312"/>
          <w:sz w:val="32"/>
          <w:szCs w:val="32"/>
        </w:rPr>
        <w:t>。</w:t>
      </w:r>
    </w:p>
    <w:p>
      <w:pPr>
        <w:spacing w:after="0" w:line="50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（三）服务方式</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服务单位须按照服务内容工作要求，为公司选派熟悉业务，并具有丰富经验的专业团队提供税务顾问服务。</w:t>
      </w:r>
    </w:p>
    <w:p>
      <w:pPr>
        <w:numPr>
          <w:ilvl w:val="0"/>
          <w:numId w:val="1"/>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资格要求</w:t>
      </w:r>
    </w:p>
    <w:p>
      <w:pPr>
        <w:spacing w:after="0" w:line="50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（一）税务师事务所</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具有承担民事责任的能力，持有合法有效营业执照及国家法律法规要求的税务师事务所等级证书A级（或以上）、税务师事务所行政登记证书。参选税务师事务所应充分理解并响应比选人对服务工作时效性要求。</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资料要求：税务师事务所行政登记证书、税务师事务所等级证书。</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近三年以来，未受过行政处罚、行业惩戒或有效投诉，不存在下列情形之一：弄虚作假、恶意串通、营私舞弊等严重不诚信行为的；分别接受利益相对方委托，就同一事项提供有利益冲突的中介服务的；出具虚假或重大失实的业务报告的；违反中介服务合同约定给委托方造成重大损失的。</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资料要求：税务师事务所承诺函。 </w:t>
      </w:r>
    </w:p>
    <w:p>
      <w:pPr>
        <w:spacing w:after="0" w:line="50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（二）服务团队</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遵守宪法和法律，具有良好的职业品德、纪律意识，选派的项目负责人须具有有效的注册税务师执业资格证书。</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资料要求：注册税务师执业资格证书。</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项目负责人须具有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年及以上职业年限。</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资料要求：注册税务师执业资格证书。</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年1月1日至今至少完成过</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个税务咨询项目；</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资料要求：业绩应附体现上述要求的合同复印件并加盖公章。</w:t>
      </w:r>
    </w:p>
    <w:p>
      <w:pPr>
        <w:keepNext w:val="0"/>
        <w:keepLines w:val="0"/>
        <w:pageBreakBefore w:val="0"/>
        <w:widowControl/>
        <w:kinsoku/>
        <w:wordWrap/>
        <w:overflowPunct/>
        <w:topLinePunct w:val="0"/>
        <w:autoSpaceDE/>
        <w:autoSpaceDN/>
        <w:bidi w:val="0"/>
        <w:adjustRightInd w:val="0"/>
        <w:snapToGrid w:val="0"/>
        <w:spacing w:after="0" w:line="57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本次比选不接受联合体申请。</w:t>
      </w:r>
    </w:p>
    <w:p>
      <w:pPr>
        <w:numPr>
          <w:ilvl w:val="0"/>
          <w:numId w:val="1"/>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比选文件的获取</w:t>
      </w:r>
    </w:p>
    <w:p>
      <w:pPr>
        <w:spacing w:after="0" w:line="50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（一）凡有意参加比选的比选申请人，请于202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日（上午9:00--12:00，下午14:00--17:30），由经办人携带</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1 \* GB3</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授权书或单位介绍信原件、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2 \* GB3</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经办人身份证原件及复印件、③比选申请人营业执照复印件（所有复印件均加盖单位鲜章）到成都市高新区天府一街535号两江国际A座</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层免费领取比选文件。报名领取比选文件后，不能转让比选资格</w:t>
      </w:r>
      <w:r>
        <w:rPr>
          <w:rFonts w:hint="eastAsia" w:ascii="仿宋_GB2312" w:hAnsi="仿宋_GB2312" w:eastAsia="仿宋_GB2312" w:cs="仿宋_GB2312"/>
          <w:sz w:val="28"/>
          <w:szCs w:val="28"/>
        </w:rPr>
        <w:t>。</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（二）比选文件有关通知（若有）由比选申请人在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"https://www.sdtlyyjt.com/"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四川蜀道铁路运营管理集团有限责任公司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https://www.sdtlyyjt.com)</w:t>
      </w:r>
      <w:r>
        <w:rPr>
          <w:rFonts w:hint="eastAsia" w:ascii="仿宋_GB2312" w:hAnsi="仿宋_GB2312" w:eastAsia="仿宋_GB2312" w:cs="仿宋_GB2312"/>
          <w:sz w:val="32"/>
          <w:szCs w:val="32"/>
        </w:rPr>
        <w:t>自行查阅与下载。</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（三）比选申请人应在报价期间适时关注上述网站，并及时下载比选相关内容，比选人不再另行通知。如有问题或疑问，应及时与比选人联系，因未能及时下载通知书（如有）的相关责任由比选申请人自行承担。</w:t>
      </w:r>
    </w:p>
    <w:p>
      <w:pPr>
        <w:spacing w:after="0" w:line="50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（四）若因疫情等其他政策原因，造成比选不能开展、延期开展或者采用其他线上方式开展，公司将及时在官网公布，并不承担任何责任。</w:t>
      </w:r>
    </w:p>
    <w:p>
      <w:pPr>
        <w:numPr>
          <w:ilvl w:val="0"/>
          <w:numId w:val="1"/>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比选文件答疑</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（一）比选疑问提交方式：比选申请人以书面方式提交需要澄清的问题（须盖比选申请人公章）。</w:t>
      </w:r>
    </w:p>
    <w:p>
      <w:pPr>
        <w:spacing w:after="0" w:line="500" w:lineRule="exact"/>
        <w:ind w:firstLine="640" w:firstLineChars="200"/>
        <w:jc w:val="both"/>
        <w:rPr>
          <w:rFonts w:ascii="仿宋_GB2312" w:hAnsi="仿宋_GB2312" w:eastAsia="仿宋_GB2312" w:cs="仿宋_GB2312"/>
          <w:sz w:val="28"/>
          <w:szCs w:val="24"/>
          <w:highlight w:val="none"/>
        </w:rPr>
      </w:pPr>
      <w:r>
        <w:rPr>
          <w:rFonts w:hint="eastAsia" w:ascii="仿宋_GB2312" w:hAnsi="仿宋_GB2312" w:eastAsia="仿宋_GB2312" w:cs="仿宋_GB2312"/>
          <w:sz w:val="32"/>
          <w:szCs w:val="32"/>
        </w:rPr>
        <w:t>（二）比选人在比选疑问提交截止时间后1日内予以答疑，本项目比选疑问提交截止时间为20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日17时00分（北京时间）。</w:t>
      </w:r>
      <w:bookmarkStart w:id="38" w:name="_GoBack"/>
      <w:bookmarkEnd w:id="38"/>
    </w:p>
    <w:p>
      <w:pPr>
        <w:numPr>
          <w:ilvl w:val="0"/>
          <w:numId w:val="1"/>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比选申请文件的递交</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（一）比选申请文件递交及截止时间：递交时间为202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日上午9:30--10:00时（北京时间），截止时间为202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日上午10:00时（北京时间）。</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（二）比选文件递交地点：成都市高新区天府一街535号两江国际A座</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层本项目开标室。</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（三）逾期送达的比选申请文件，比选人不予受理。</w:t>
      </w:r>
    </w:p>
    <w:p>
      <w:pPr>
        <w:spacing w:after="0" w:line="500" w:lineRule="exact"/>
        <w:ind w:firstLine="480" w:firstLineChars="150"/>
        <w:jc w:val="both"/>
        <w:rPr>
          <w:rFonts w:ascii="仿宋_GB2312" w:hAnsi="仿宋_GB2312" w:eastAsia="仿宋_GB2312" w:cs="仿宋_GB2312"/>
          <w:sz w:val="28"/>
          <w:szCs w:val="28"/>
        </w:rPr>
      </w:pPr>
      <w:r>
        <w:rPr>
          <w:rFonts w:hint="eastAsia" w:ascii="仿宋_GB2312" w:hAnsi="仿宋_GB2312" w:eastAsia="仿宋_GB2312" w:cs="仿宋_GB2312"/>
          <w:sz w:val="32"/>
          <w:szCs w:val="32"/>
        </w:rPr>
        <w:t>（四）比选申请文件概不退还。</w:t>
      </w:r>
    </w:p>
    <w:p>
      <w:pPr>
        <w:numPr>
          <w:ilvl w:val="0"/>
          <w:numId w:val="1"/>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联系方式</w:t>
      </w:r>
    </w:p>
    <w:p>
      <w:pPr>
        <w:spacing w:after="0" w:line="500" w:lineRule="exact"/>
        <w:ind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 选 人：四川蜀道铁路运营管理集团有限责任公司</w:t>
      </w:r>
    </w:p>
    <w:p>
      <w:pPr>
        <w:spacing w:after="0" w:line="500" w:lineRule="exact"/>
        <w:ind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    址：成都市高新区天府一街535号两江国际A座</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rPr>
        <w:t>层</w:t>
      </w:r>
    </w:p>
    <w:p>
      <w:pPr>
        <w:spacing w:after="0" w:line="500" w:lineRule="exact"/>
        <w:ind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    编：610094</w:t>
      </w:r>
    </w:p>
    <w:p>
      <w:pPr>
        <w:spacing w:after="0" w:line="500" w:lineRule="exact"/>
        <w:ind w:firstLine="480" w:firstLineChars="15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 系 人：</w:t>
      </w:r>
      <w:r>
        <w:rPr>
          <w:rFonts w:hint="eastAsia" w:ascii="仿宋_GB2312" w:hAnsi="仿宋_GB2312" w:eastAsia="仿宋_GB2312" w:cs="仿宋_GB2312"/>
          <w:sz w:val="32"/>
          <w:szCs w:val="32"/>
          <w:lang w:val="en-US" w:eastAsia="zh-CN"/>
        </w:rPr>
        <w:t>何先生</w:t>
      </w:r>
    </w:p>
    <w:p>
      <w:pPr>
        <w:spacing w:after="0" w:line="500" w:lineRule="exact"/>
        <w:ind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    话：</w:t>
      </w:r>
      <w:r>
        <w:rPr>
          <w:rFonts w:hint="eastAsia" w:ascii="仿宋_GB2312" w:hAnsi="仿宋_GB2312" w:eastAsia="仿宋_GB2312" w:cs="仿宋_GB2312"/>
          <w:sz w:val="32"/>
          <w:szCs w:val="32"/>
          <w:lang w:val="en-US" w:eastAsia="zh-CN"/>
        </w:rPr>
        <w:t>13568843667</w:t>
      </w:r>
      <w:r>
        <w:rPr>
          <w:rFonts w:hint="eastAsia" w:ascii="仿宋_GB2312" w:hAnsi="仿宋_GB2312" w:eastAsia="仿宋_GB2312" w:cs="仿宋_GB2312"/>
          <w:sz w:val="32"/>
          <w:szCs w:val="32"/>
        </w:rPr>
        <w:t xml:space="preserve">   </w:t>
      </w:r>
    </w:p>
    <w:p>
      <w:pPr>
        <w:pStyle w:val="29"/>
      </w:pPr>
    </w:p>
    <w:p>
      <w:pPr>
        <w:rPr>
          <w:highlight w:val="none"/>
        </w:rPr>
      </w:pPr>
    </w:p>
    <w:p>
      <w:pPr>
        <w:spacing w:after="0" w:line="500" w:lineRule="exact"/>
        <w:ind w:firstLine="420" w:firstLineChars="150"/>
        <w:jc w:val="both"/>
        <w:rPr>
          <w:rFonts w:hint="eastAsia" w:ascii="仿宋_GB2312" w:hAnsi="仿宋_GB2312" w:eastAsia="仿宋_GB2312" w:cs="仿宋_GB2312"/>
          <w:sz w:val="32"/>
          <w:szCs w:val="32"/>
          <w:lang w:val="en-US" w:eastAsia="zh-CN"/>
        </w:rPr>
      </w:pPr>
      <w:r>
        <w:rPr>
          <w:rFonts w:ascii="仿宋_GB2312" w:hAnsi="仿宋_GB2312" w:eastAsia="仿宋_GB2312" w:cs="仿宋_GB2312"/>
          <w:b w:val="0"/>
          <w:bCs w:val="0"/>
          <w:kern w:val="0"/>
          <w:sz w:val="28"/>
          <w:szCs w:val="24"/>
          <w:highlight w:val="none"/>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bookmarkStart w:id="4" w:name="_Toc30893_WPSOffice_Level1"/>
      <w:r>
        <w:rPr>
          <w:rFonts w:hint="eastAsia" w:ascii="仿宋_GB2312" w:hAnsi="仿宋_GB2312" w:eastAsia="仿宋_GB2312" w:cs="仿宋_GB2312"/>
          <w:sz w:val="32"/>
          <w:szCs w:val="32"/>
          <w:lang w:val="en-US" w:eastAsia="zh-CN"/>
        </w:rPr>
        <w:t xml:space="preserve">10日 </w:t>
      </w:r>
    </w:p>
    <w:p>
      <w:pPr>
        <w:spacing w:after="0" w:line="500" w:lineRule="exact"/>
        <w:ind w:firstLine="480" w:firstLineChars="15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bookmarkEnd w:id="4"/>
    <w:p>
      <w:pPr>
        <w:spacing w:after="0" w:line="500" w:lineRule="exact"/>
        <w:jc w:val="center"/>
        <w:outlineLvl w:val="0"/>
        <w:rPr>
          <w:rFonts w:hint="eastAsia" w:ascii="方正小标宋简体" w:hAnsi="方正小标宋简体" w:eastAsia="方正小标宋简体" w:cs="方正小标宋简体"/>
          <w:bCs/>
          <w:kern w:val="44"/>
          <w:sz w:val="44"/>
          <w:szCs w:val="44"/>
        </w:rPr>
      </w:pPr>
      <w:bookmarkStart w:id="5" w:name="_Toc96874881"/>
      <w:r>
        <w:rPr>
          <w:rFonts w:hint="eastAsia" w:ascii="方正小标宋简体" w:hAnsi="方正小标宋简体" w:eastAsia="方正小标宋简体" w:cs="方正小标宋简体"/>
          <w:bCs/>
          <w:kern w:val="44"/>
          <w:sz w:val="44"/>
          <w:szCs w:val="44"/>
        </w:rPr>
        <w:t>第二章  比选申请人须知</w:t>
      </w:r>
      <w:bookmarkEnd w:id="5"/>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项目名称</w:t>
      </w:r>
    </w:p>
    <w:p>
      <w:pPr>
        <w:spacing w:after="0" w:line="500" w:lineRule="exact"/>
        <w:ind w:firstLine="640" w:firstLineChars="200"/>
        <w:jc w:val="both"/>
        <w:rPr>
          <w:rFonts w:ascii="仿宋_GB2312" w:hAnsi="仿宋_GB2312" w:eastAsia="仿宋_GB2312" w:cs="仿宋_GB2312"/>
          <w:sz w:val="28"/>
        </w:rPr>
      </w:pPr>
      <w:r>
        <w:rPr>
          <w:rFonts w:hint="eastAsia" w:ascii="仿宋_GB2312" w:hAnsi="仿宋_GB2312" w:eastAsia="仿宋_GB2312" w:cs="仿宋_GB2312"/>
          <w:sz w:val="32"/>
          <w:szCs w:val="32"/>
        </w:rPr>
        <w:t>四川蜀道铁路运营管理集团有限责任公司常年税务顾问服务项目</w:t>
      </w:r>
      <w:r>
        <w:rPr>
          <w:rFonts w:hint="eastAsia" w:ascii="仿宋_GB2312" w:hAnsi="仿宋_GB2312" w:eastAsia="仿宋_GB2312" w:cs="仿宋_GB2312"/>
          <w:sz w:val="28"/>
        </w:rPr>
        <w:t>。</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税务顾问的资格要求</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最低资格要求详见第一章比选公告中的相关要求。最低资格以下的是不符合条件的申请人，比选人不予接受。如比选申请人实际上并未达到最低要求，因提供虚假资料而致使参加比选而中选，中选自始无效。</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业绩要求详见第一章比选公告中的税务师事务所及服务团队资格要求。</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最高限价</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本项目最高限价为年服务费用（含税）</w:t>
      </w:r>
      <w:r>
        <w:rPr>
          <w:rFonts w:hint="eastAsia" w:ascii="仿宋_GB2312" w:hAnsi="仿宋_GB2312" w:eastAsia="仿宋_GB2312" w:cs="仿宋_GB2312"/>
          <w:sz w:val="32"/>
          <w:szCs w:val="32"/>
          <w:lang w:val="en-US" w:eastAsia="zh-CN"/>
        </w:rPr>
        <w:t>16.5</w:t>
      </w:r>
      <w:r>
        <w:rPr>
          <w:rFonts w:hint="eastAsia" w:ascii="仿宋_GB2312" w:hAnsi="仿宋_GB2312" w:eastAsia="仿宋_GB2312" w:cs="仿宋_GB2312"/>
          <w:sz w:val="32"/>
          <w:szCs w:val="32"/>
        </w:rPr>
        <w:t>万元（大写：人民币</w:t>
      </w:r>
      <w:r>
        <w:rPr>
          <w:rFonts w:hint="default" w:ascii="仿宋_GB2312" w:hAnsi="仿宋_GB2312" w:eastAsia="仿宋_GB2312" w:cs="仿宋_GB2312"/>
          <w:sz w:val="32"/>
          <w:szCs w:val="32"/>
        </w:rPr>
        <w:t>壹拾陆万伍仟</w:t>
      </w:r>
      <w:r>
        <w:rPr>
          <w:rFonts w:hint="eastAsia" w:ascii="仿宋_GB2312" w:hAnsi="仿宋_GB2312" w:eastAsia="仿宋_GB2312" w:cs="仿宋_GB2312"/>
          <w:sz w:val="32"/>
          <w:szCs w:val="32"/>
          <w:lang w:val="en-US" w:eastAsia="zh-CN"/>
        </w:rPr>
        <w:t>元整</w:t>
      </w:r>
      <w:r>
        <w:rPr>
          <w:rFonts w:hint="eastAsia" w:ascii="仿宋_GB2312" w:hAnsi="仿宋_GB2312" w:eastAsia="仿宋_GB2312" w:cs="仿宋_GB2312"/>
          <w:sz w:val="32"/>
          <w:szCs w:val="32"/>
        </w:rPr>
        <w:t>）。</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比选申请人的报价应包括中选后需完成合同规定所有工作内容需承担的服务费用、税金等一切费用与利润，并考虑应承担的风险和责任，包干使用。</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比选费用</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申请人在比选过程中的一切费用，不论中选与否，均由申请人自行承担。</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比选有效期</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比选有效期为提交比选申请文件的截止日起60日内。</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比选申请文件装订要求</w:t>
      </w:r>
    </w:p>
    <w:p>
      <w:pPr>
        <w:spacing w:after="0" w:line="500" w:lineRule="exact"/>
        <w:ind w:firstLine="640" w:firstLineChars="200"/>
        <w:jc w:val="both"/>
        <w:rPr>
          <w:rFonts w:hint="eastAsia"/>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参加比选的比选申请人应按第三章比选申请文件的格式中的要求提交比选申请文件，比选申请文件应用简体中文写成，比选申请文件除签名外，全部用不褪色的墨水（粉）打印。比选申请文件正本一份，副本两份，比选申请文件的正、副本一起封装在封套里，封套应加贴封条，并在封套的封口处加盖单位公章或密封章或法定代表人（或授权代理人）的亲笔签字。比选申请文件的封套上应注明申请项目名称和比选申请人名称并加盖公章。</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未按要求密封、标记和投递的比选申请文件，比选人有权拒收。</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选申请文件的正本与副本（副本可以是正本的复印件或影印件）应采用粘贴或装订方式分别装订成册，不得采用活页夹等可随时拆换的方式装订，同时比选申请文件应逐页连续编码，否则，比选人将对比选申请文件页数的丢失、散落或其他后果不承担任何责任。</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除比选申请人对错误处必须修改外，全套比选申请文件应无涂改或行间插字和增删。如有修改，修改处应由比选申请文件签字人签字或加盖比选申请人公章。</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比选申请文件的内容</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比选申请函</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法定代表人（负责人）身份证明</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授权委托书（如有）</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税务师事务所介绍</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拟配备服务团队</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拟配备服务团队常年税务顾问业绩</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信誉承诺函</w:t>
      </w:r>
    </w:p>
    <w:p>
      <w:pPr>
        <w:spacing w:after="0" w:line="50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服务方案</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九</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其他资料（如有）</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比选申请文件的开启</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递交比选申请文件截止时间准时开标，比选人邀请比选申请人参加开标。比选申请文件递交截止时间后，如果比选申请人未达到三家的比选要求，将不开启比选申请文件并将再次发布比选公告。</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比选评标办法</w:t>
      </w:r>
    </w:p>
    <w:p>
      <w:pPr>
        <w:spacing w:after="0" w:line="500" w:lineRule="exact"/>
        <w:ind w:firstLine="640" w:firstLineChars="200"/>
        <w:jc w:val="both"/>
        <w:rPr>
          <w:rFonts w:ascii="仿宋_GB2312" w:hAnsi="仿宋_GB2312" w:eastAsia="仿宋_GB2312" w:cs="仿宋_GB2312"/>
          <w:sz w:val="28"/>
        </w:rPr>
      </w:pPr>
      <w:r>
        <w:rPr>
          <w:rFonts w:hint="eastAsia" w:ascii="仿宋_GB2312" w:hAnsi="仿宋_GB2312" w:eastAsia="仿宋_GB2312" w:cs="仿宋_GB2312"/>
          <w:sz w:val="32"/>
          <w:szCs w:val="32"/>
        </w:rPr>
        <w:t>本次比选采用综合评分法。</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评审程序</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（一）评审委员会集中审查比选申请文件，按第四章评审办法进行评审，对不符合第一章比选公告中最低资格要求的比选申请人作否决处理，对符合比选资格要求的比选申请人按照比选文件的要求进行打分。</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（二）中选原则：根据《评分细则》逐项打分，评审委员会推荐得分靠前的1-3名中选候选人报比选人，最终中选人由比选人根据评审报告确定。</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（二）对比选文件的内容理解有争议的，由比选人按照比选文件所使用的词句、比选文件的有关条款、比选的目的、习惯以及诚实信用原则，确定该条款的真实意思，有两种以上解释的，解释权归评审委员会。</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比选结果公示及通知</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比选人将中选候选人名单在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"https://www.sdtlyyjt.com/"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四川蜀道铁路运营管理集团有限责任公司</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https://www.sdtlyyjt.com)</w:t>
      </w:r>
      <w:r>
        <w:rPr>
          <w:rFonts w:hint="eastAsia" w:ascii="仿宋_GB2312" w:hAnsi="仿宋_GB2312" w:eastAsia="仿宋_GB2312" w:cs="仿宋_GB2312"/>
          <w:sz w:val="32"/>
          <w:szCs w:val="32"/>
        </w:rPr>
        <w:t>公示3日。公示结束且未收到任何质疑或投诉意见，比选人以书面形式向中选人发出中选通知书。</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合同签订</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中选通知书发出后，比选人与中选人签订相关合同。</w:t>
      </w:r>
    </w:p>
    <w:p>
      <w:pPr>
        <w:numPr>
          <w:ilvl w:val="0"/>
          <w:numId w:val="2"/>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补充说明</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本比选文件中约定的“以上”、“至少”、“不少于”包括本数，“以下”不包括本数。</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比选人因疫情防控等其他政策原因，造成本次比选活动暂停、延后或终止的，比选申请人应充分理解并支持防疫工作开展，比选人不承担由此造成的损失。</w:t>
      </w:r>
    </w:p>
    <w:p>
      <w:pPr>
        <w:spacing w:after="0" w:line="500" w:lineRule="exact"/>
        <w:ind w:firstLine="640" w:firstLineChars="200"/>
        <w:jc w:val="both"/>
        <w:rPr>
          <w:rFonts w:ascii="仿宋_GB2312" w:hAnsi="仿宋_GB2312" w:eastAsia="仿宋_GB2312" w:cs="仿宋_GB2312"/>
          <w:sz w:val="28"/>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比选申请人应提前知晓并配合参加本次比选活动（领取比选文件、递交比选申请文件等）所涉及的疫情防控要求，一切责任由比选申请人负责。</w:t>
      </w:r>
      <w:r>
        <w:rPr>
          <w:rFonts w:ascii="方正小标宋简体" w:hAnsi="方正小标宋简体" w:eastAsia="方正小标宋简体" w:cs="方正小标宋简体"/>
          <w:sz w:val="36"/>
          <w:szCs w:val="36"/>
        </w:rPr>
        <w:br w:type="page"/>
      </w:r>
    </w:p>
    <w:p>
      <w:pPr>
        <w:spacing w:after="0" w:line="500" w:lineRule="exact"/>
        <w:jc w:val="center"/>
        <w:outlineLvl w:val="0"/>
        <w:rPr>
          <w:rFonts w:hint="eastAsia" w:ascii="方正小标宋简体" w:hAnsi="方正小标宋简体" w:eastAsia="方正小标宋简体" w:cs="方正小标宋简体"/>
          <w:bCs/>
          <w:kern w:val="44"/>
          <w:sz w:val="44"/>
          <w:szCs w:val="44"/>
        </w:rPr>
      </w:pPr>
      <w:bookmarkStart w:id="6" w:name="_Toc96874882"/>
      <w:r>
        <w:rPr>
          <w:rFonts w:hint="eastAsia" w:ascii="方正小标宋简体" w:hAnsi="方正小标宋简体" w:eastAsia="方正小标宋简体" w:cs="方正小标宋简体"/>
          <w:bCs/>
          <w:kern w:val="44"/>
          <w:sz w:val="44"/>
          <w:szCs w:val="44"/>
        </w:rPr>
        <w:t>第三章  比选人要求</w:t>
      </w:r>
      <w:bookmarkEnd w:id="6"/>
    </w:p>
    <w:p>
      <w:pPr>
        <w:numPr>
          <w:ilvl w:val="0"/>
          <w:numId w:val="3"/>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公司简介</w:t>
      </w:r>
    </w:p>
    <w:p>
      <w:pPr>
        <w:spacing w:after="0" w:line="500" w:lineRule="exact"/>
        <w:ind w:firstLine="640" w:firstLineChars="200"/>
        <w:jc w:val="both"/>
        <w:rPr>
          <w:rFonts w:hint="eastAsia"/>
        </w:rPr>
      </w:pPr>
      <w:r>
        <w:rPr>
          <w:rFonts w:hint="eastAsia" w:ascii="仿宋_GB2312" w:hAnsi="仿宋_GB2312" w:eastAsia="仿宋_GB2312" w:cs="仿宋_GB2312"/>
          <w:sz w:val="32"/>
          <w:szCs w:val="32"/>
        </w:rPr>
        <w:t>四川蜀道铁路运营管理集团有限责任公司（以下简称“蜀道铁路运营集团”或“公司”），是蜀道投资集团有限责任公司的全资直属子企业，以专业化整合方式组建，于2021年12月29日揭牌成立，注册资本10亿元。蜀道铁路运营集团作为四川省唯一地方铁路特许经营企业，致力于打造蜀道铁路运营管理专业化平台，充分发挥合资铁路平台优势，积极布局铁路物流、沿线资源开发等多元经营产业，深挖产业链价值，打造新的利润增长极，有效支撑蜀道集团铁路产业高质量发展。</w:t>
      </w:r>
    </w:p>
    <w:p>
      <w:pPr>
        <w:numPr>
          <w:ilvl w:val="0"/>
          <w:numId w:val="3"/>
        </w:numPr>
        <w:spacing w:after="0" w:line="5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服务范围</w:t>
      </w:r>
    </w:p>
    <w:p>
      <w:pPr>
        <w:spacing w:after="0" w:line="5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蜀道铁路运营集团本部及所属公司</w:t>
      </w:r>
    </w:p>
    <w:p>
      <w:pPr>
        <w:numPr>
          <w:ilvl w:val="0"/>
          <w:numId w:val="3"/>
        </w:numPr>
        <w:spacing w:after="0"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服务内容</w:t>
      </w:r>
    </w:p>
    <w:p>
      <w:pPr>
        <w:pStyle w:val="50"/>
        <w:numPr>
          <w:ilvl w:val="0"/>
          <w:numId w:val="4"/>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为公司重大事项提供税务筹划并参与过程管理</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根据甲方要求，有前瞻性的对各重要经济事项（项目）的经营模式、业务流程、管理内容等进行设计安排，规避税务风险，合法降低综合税负。包括但不限于以下方面：</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针对甲方综合开发顶层需求，设计方案并辅导落地实施，乙方会随时接受咨询并在三天内进行邮件、书面回复。</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针对甲方股权收构、资产收购、吸收合并、增资扩股等业务进行税收整体筹划，针对具体案例具体分析原则提供咨询，确保三天内进行回复。</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针对甲方组织架构以及平台公司的增设和甲方战略发展进行税收筹划。根据甲方实际发展情况，定期对甲方的组织构架进行检查，对存在的不合理或需要改进的地方及时向甲方提出，并出具报告。</w:t>
      </w:r>
    </w:p>
    <w:p>
      <w:pPr>
        <w:keepNext w:val="0"/>
        <w:keepLines w:val="0"/>
        <w:pageBreakBefore w:val="0"/>
        <w:widowControl/>
        <w:kinsoku/>
        <w:wordWrap/>
        <w:overflowPunct/>
        <w:topLinePunct w:val="0"/>
        <w:autoSpaceDE/>
        <w:autoSpaceDN/>
        <w:bidi w:val="0"/>
        <w:adjustRightInd w:val="0"/>
        <w:snapToGrid w:val="0"/>
        <w:spacing w:after="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根据甲方实际经营情况，合理筹划甲方的资金流，以获得资金的最大利用价值。</w:t>
      </w:r>
    </w:p>
    <w:p>
      <w:pPr>
        <w:pStyle w:val="4"/>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color w:val="auto"/>
          <w:sz w:val="32"/>
          <w:szCs w:val="32"/>
          <w:lang w:val="en-US" w:eastAsia="zh-CN" w:bidi="ar-SA"/>
        </w:rPr>
      </w:pPr>
      <w:r>
        <w:rPr>
          <w:rFonts w:hint="eastAsia" w:ascii="仿宋_GB2312" w:hAnsi="仿宋_GB2312" w:eastAsia="仿宋_GB2312" w:cs="仿宋_GB2312"/>
          <w:color w:val="auto"/>
          <w:sz w:val="32"/>
          <w:szCs w:val="32"/>
          <w:lang w:val="en-US" w:eastAsia="zh-CN" w:bidi="ar-SA"/>
        </w:rPr>
        <w:t>5.为甲方个人所得税的筹划及建议方案。</w:t>
      </w:r>
    </w:p>
    <w:p>
      <w:pPr>
        <w:pStyle w:val="50"/>
        <w:numPr>
          <w:ilvl w:val="0"/>
          <w:numId w:val="4"/>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参与重要经济合同涉税评审及检查</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甲方需求，针对甲方后期签定的重大合同进行财务税收审核，对超过100万以上的合同进行财税合同评审并出具税务意见（同类别的只审核其中一个合同），从源头规避税务风险，合法降低税负以确保决策中税务事项的科学性。</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随时接受财务对个别合同的咨询。</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加强对甲方签署合同的审查，对重大合同（超过100万的合同）抽查率达到50%及以上，小额合同抽查率达到10%。</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针对甲方前期已发生的各项重大经济合同（超过100万的合同）进行税务审核，并出具意见、建议报告。</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乙方每季度派人到现场进行税收检查并出具报告。</w:t>
      </w:r>
    </w:p>
    <w:p>
      <w:pPr>
        <w:pStyle w:val="50"/>
        <w:numPr>
          <w:ilvl w:val="0"/>
          <w:numId w:val="4"/>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日常财税答疑及提供解决办法</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乙方将根据甲方的业务发展需求，每季度走访并记录随访录，提供税收法律、法规和政策方面的咨询，纳税申报操作环节、会计处理及具体方法的咨询；同时对提出的税收政策方面的疑难问题进行解答。</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乙方接受委托后，将根据甲方经营业务性质，分析各税种可能存在的风险，重点解决存在的涉税事项，做好行业疑难问题解答，为企业相关税收优惠政策享用提供充分的法律法规依据，同时在征收管理环节为企业提供最准确的专业知识。</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常涉税解答对象包含甲方相关财务人员以及部分业务人员。通过电话、QQ、邮件等形式解答甲方相关人员日常工作中遇到的财税问题。甲方相关人员可随时向我方电话咨询有关涉税问题，对于特殊情况也可到甲方指定的地点提供服务。</w:t>
      </w:r>
    </w:p>
    <w:p>
      <w:pPr>
        <w:pStyle w:val="50"/>
        <w:numPr>
          <w:ilvl w:val="0"/>
          <w:numId w:val="4"/>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新政策解读与分享</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时向甲方传递各级财税部门出台的最新政策以及专家团队的解读，对特定政策文件进行解释。根据甲方经营范围，分析年度经济收入类型、性质，运用增值税、所得税等税收优惠政策，为甲方提供比较精准的税收优惠政策建议。</w:t>
      </w:r>
    </w:p>
    <w:p>
      <w:pPr>
        <w:pStyle w:val="50"/>
        <w:numPr>
          <w:ilvl w:val="0"/>
          <w:numId w:val="4"/>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纳税遵从日常健康体检及特别事项专门检查</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协助甲方开展税收专项自查工作，并对税务自查评估过程中发现的问题提供解决方案，确保甲方的税务操作合规合法，最大限度的规避税务风险。</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会计核算方式、财务处理提供咨询服务。每次对甲方财务凭证进行不少于50%的抽查，根据企业会计准则以及税收相关规定，对甲方财务凭证以及税收账务处理存在的问题及时提出整改建议，并指导甲方进行改进，对改进效果予以跟踪，形成闭环监控管理，从而逐步规范相关财税工作。</w:t>
      </w:r>
    </w:p>
    <w:p>
      <w:pPr>
        <w:pStyle w:val="50"/>
        <w:numPr>
          <w:ilvl w:val="0"/>
          <w:numId w:val="4"/>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协助甲方与税务部门的交流、沟通</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针对甲方遇到的疑难问题，如增值税纳税义务时间、统借统还等问题，利用乙方良好的沟通渠道，争取取得更有利于甲方的政策支持，以达到及时准确纳税之目的，规避涉税风险。</w:t>
      </w:r>
    </w:p>
    <w:p>
      <w:pPr>
        <w:pStyle w:val="50"/>
        <w:numPr>
          <w:ilvl w:val="0"/>
          <w:numId w:val="4"/>
        </w:num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协助甲方与政府相关部门的交流、沟通</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根据甲方的经营规模与业绩，协助甲方与政府相关部门沟通交流，及时全方位享受到政府给予企业的各种奖励和政策支持。</w:t>
      </w:r>
    </w:p>
    <w:p>
      <w:pPr>
        <w:pStyle w:val="50"/>
        <w:numPr>
          <w:ilvl w:val="0"/>
          <w:numId w:val="4"/>
        </w:numPr>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所得税汇算清缴</w:t>
      </w:r>
    </w:p>
    <w:p>
      <w:pPr>
        <w:spacing w:after="0" w:line="5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审核甲方的会计凭证、会计账务、审计报告、重要合同等全部纳税申报资料，依据企业所得税法相关规定，对甲方年度企业所得税汇算清缴出具审核报告，协助铁路物流公司和合资铁路成自公司企业所得税汇算清缴。</w:t>
      </w:r>
    </w:p>
    <w:p>
      <w:pPr>
        <w:pStyle w:val="50"/>
        <w:numPr>
          <w:ilvl w:val="0"/>
          <w:numId w:val="4"/>
        </w:numPr>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税务档案整理</w:t>
      </w:r>
    </w:p>
    <w:p>
      <w:pPr>
        <w:pStyle w:val="4"/>
        <w:ind w:firstLine="640" w:firstLineChars="200"/>
        <w:rPr>
          <w:rFonts w:hint="default" w:ascii="仿宋_GB2312" w:hAnsi="仿宋_GB2312" w:eastAsia="仿宋_GB2312" w:cs="仿宋_GB2312"/>
          <w:color w:val="auto"/>
          <w:sz w:val="32"/>
          <w:szCs w:val="32"/>
          <w:lang w:val="en-US" w:eastAsia="zh-CN" w:bidi="ar-SA"/>
        </w:rPr>
      </w:pPr>
      <w:r>
        <w:rPr>
          <w:rFonts w:hint="default" w:ascii="仿宋_GB2312" w:hAnsi="仿宋_GB2312" w:eastAsia="仿宋_GB2312" w:cs="仿宋_GB2312"/>
          <w:color w:val="auto"/>
          <w:sz w:val="32"/>
          <w:szCs w:val="32"/>
          <w:lang w:val="en-US" w:eastAsia="zh-CN" w:bidi="ar-SA"/>
        </w:rPr>
        <w:t>协助甲方</w:t>
      </w:r>
      <w:r>
        <w:rPr>
          <w:rFonts w:hint="eastAsia" w:ascii="仿宋_GB2312" w:hAnsi="仿宋_GB2312" w:eastAsia="仿宋_GB2312" w:cs="仿宋_GB2312"/>
          <w:color w:val="auto"/>
          <w:sz w:val="32"/>
          <w:szCs w:val="32"/>
          <w:lang w:val="en-US" w:eastAsia="zh-CN" w:bidi="ar-SA"/>
        </w:rPr>
        <w:t>出台税务档案管理相关制度办法、协助甲方集团本部及所属企业建立税务档案管理、协助甲方集团本部整理税务资料，形成税务相关档案。</w:t>
      </w:r>
    </w:p>
    <w:p>
      <w:pPr>
        <w:numPr>
          <w:ilvl w:val="0"/>
          <w:numId w:val="3"/>
        </w:numPr>
        <w:spacing w:after="0"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服务期限</w:t>
      </w:r>
    </w:p>
    <w:p>
      <w:pPr>
        <w:pStyle w:val="42"/>
        <w:keepNext w:val="0"/>
        <w:keepLines w:val="0"/>
        <w:pageBreakBefore w:val="0"/>
        <w:widowControl w:val="0"/>
        <w:numPr>
          <w:ilvl w:val="0"/>
          <w:numId w:val="0"/>
        </w:numPr>
        <w:kinsoku/>
        <w:wordWrap/>
        <w:overflowPunct/>
        <w:topLinePunct w:val="0"/>
        <w:autoSpaceDE/>
        <w:autoSpaceDN/>
        <w:bidi w:val="0"/>
        <w:adjustRightInd/>
        <w:snapToGrid w:val="0"/>
        <w:spacing w:line="570" w:lineRule="exact"/>
        <w:ind w:left="0" w:leftChars="0" w:right="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rPr>
        <w:t>自合同签订之日起算，合同期</w:t>
      </w:r>
      <w:r>
        <w:rPr>
          <w:rFonts w:hint="eastAsia" w:ascii="仿宋_GB2312" w:hAnsi="仿宋_GB2312" w:eastAsia="仿宋_GB2312" w:cs="仿宋_GB2312"/>
          <w:sz w:val="32"/>
          <w:szCs w:val="32"/>
          <w:highlight w:val="none"/>
        </w:rPr>
        <w:t>限为</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w:t>
      </w:r>
      <w:r>
        <w:rPr>
          <w:rFonts w:hint="eastAsia" w:eastAsia="仿宋_GB2312" w:cs="Times New Roman"/>
          <w:sz w:val="32"/>
          <w:szCs w:val="32"/>
          <w:highlight w:val="none"/>
          <w:lang w:val="en-US" w:eastAsia="zh-CN"/>
        </w:rPr>
        <w:t>一年一签，每年根据年终考核情况判定是否续签。</w:t>
      </w:r>
    </w:p>
    <w:p>
      <w:pPr>
        <w:numPr>
          <w:ilvl w:val="0"/>
          <w:numId w:val="3"/>
        </w:numPr>
        <w:spacing w:after="0"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服务方式</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税务顾问单位须按照服务内容工作要求，为公司选派熟悉业务，并具有丰富经验的专业税务团队提供税务顾问服务。</w:t>
      </w:r>
    </w:p>
    <w:p>
      <w:pPr>
        <w:numPr>
          <w:ilvl w:val="0"/>
          <w:numId w:val="3"/>
        </w:numPr>
        <w:spacing w:after="0" w:line="500" w:lineRule="exact"/>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服务要求</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比选人重大商务谈判、协商，需税务顾问团队集中工作较长时间或出差时，由比选人提前与本项目负责人联系；由本项目负责人根据比选人的需要做出相应安排。</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根据比选人的委托或授权，比选申请人通过调查研究、参加有关会议、参与商务谈判、个别咨询、委托代办等形式开展税务顾问工作。</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根据工作需要可随时通知拟派税务顾问服务团队人员提供现场或远程服务。</w:t>
      </w:r>
    </w:p>
    <w:p>
      <w:pPr>
        <w:spacing w:after="0" w:line="500" w:lineRule="exact"/>
        <w:ind w:firstLine="720" w:firstLineChars="200"/>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br w:type="page"/>
      </w:r>
    </w:p>
    <w:p>
      <w:pPr>
        <w:spacing w:after="0" w:line="500" w:lineRule="exact"/>
        <w:jc w:val="center"/>
        <w:outlineLvl w:val="0"/>
        <w:rPr>
          <w:rFonts w:hint="eastAsia" w:ascii="方正小标宋简体" w:hAnsi="方正小标宋简体" w:eastAsia="方正小标宋简体" w:cs="方正小标宋简体"/>
          <w:bCs/>
          <w:kern w:val="44"/>
          <w:sz w:val="44"/>
          <w:szCs w:val="44"/>
        </w:rPr>
      </w:pPr>
      <w:bookmarkStart w:id="7" w:name="_Toc96874883"/>
      <w:r>
        <w:rPr>
          <w:rFonts w:hint="eastAsia" w:ascii="方正小标宋简体" w:hAnsi="方正小标宋简体" w:eastAsia="方正小标宋简体" w:cs="方正小标宋简体"/>
          <w:bCs/>
          <w:kern w:val="44"/>
          <w:sz w:val="44"/>
          <w:szCs w:val="44"/>
        </w:rPr>
        <w:t>第四章  比选申请文件的格式</w:t>
      </w:r>
      <w:bookmarkEnd w:id="7"/>
    </w:p>
    <w:p>
      <w:pPr>
        <w:jc w:val="center"/>
        <w:rPr>
          <w:rFonts w:asciiTheme="majorEastAsia" w:hAnsiTheme="majorEastAsia" w:eastAsiaTheme="majorEastAsia"/>
          <w:b/>
          <w:sz w:val="52"/>
        </w:rPr>
      </w:pP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说明：</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(1)比选申请人应按照本章提供的比选申请文件格式要求，提交比选申请文件；本章未提供格式的，由比选申请人自主编制。</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(2)如比选申请人税务师事务所负责人递交比选申请文件，不用填写“三、委托授权书”，以下章节的序号依次递补。</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(3)本章所附格式大小只是范例，可另附页。</w:t>
      </w:r>
    </w:p>
    <w:p>
      <w:pPr>
        <w:jc w:val="center"/>
        <w:rPr>
          <w:rFonts w:asciiTheme="majorEastAsia" w:hAnsiTheme="majorEastAsia" w:eastAsiaTheme="majorEastAsia"/>
          <w:b/>
          <w:sz w:val="52"/>
        </w:rPr>
      </w:pPr>
      <w:r>
        <w:rPr>
          <w:rFonts w:asciiTheme="majorEastAsia" w:hAnsiTheme="majorEastAsia" w:eastAsiaTheme="majorEastAsia"/>
          <w:b/>
          <w:sz w:val="52"/>
        </w:rPr>
        <w:br w:type="page"/>
      </w:r>
    </w:p>
    <w:p>
      <w:pPr>
        <w:spacing w:line="500" w:lineRule="exact"/>
        <w:jc w:val="right"/>
        <w:rPr>
          <w:rFonts w:ascii="方正小标宋简体" w:hAnsi="黑体" w:eastAsia="方正小标宋简体" w:cs="黑体"/>
          <w:kern w:val="2"/>
          <w:sz w:val="44"/>
          <w:szCs w:val="44"/>
        </w:rPr>
      </w:pPr>
      <w:r>
        <w:rPr>
          <w:rFonts w:hint="eastAsia" w:ascii="仿宋_GB2312" w:hAnsi="宋体" w:eastAsia="仿宋_GB2312" w:cs="宋体"/>
          <w:color w:val="000000"/>
          <w:sz w:val="36"/>
        </w:rPr>
        <w:t>（正本/副本）</w:t>
      </w:r>
    </w:p>
    <w:p>
      <w:pPr>
        <w:spacing w:line="500" w:lineRule="exact"/>
        <w:jc w:val="center"/>
        <w:rPr>
          <w:rFonts w:ascii="方正小标宋简体" w:hAnsi="黑体" w:eastAsia="方正小标宋简体" w:cs="黑体"/>
          <w:kern w:val="2"/>
          <w:sz w:val="44"/>
          <w:szCs w:val="44"/>
        </w:rPr>
      </w:pPr>
    </w:p>
    <w:p>
      <w:pPr>
        <w:spacing w:line="500" w:lineRule="exact"/>
        <w:jc w:val="center"/>
        <w:rPr>
          <w:rFonts w:ascii="方正小标宋简体" w:hAnsi="黑体" w:eastAsia="方正小标宋简体" w:cs="黑体"/>
          <w:kern w:val="2"/>
          <w:sz w:val="44"/>
          <w:szCs w:val="44"/>
        </w:rPr>
      </w:pPr>
      <w:r>
        <w:rPr>
          <w:rFonts w:hint="eastAsia" w:ascii="方正小标宋简体" w:hAnsi="黑体" w:eastAsia="方正小标宋简体" w:cs="黑体"/>
          <w:kern w:val="2"/>
          <w:sz w:val="44"/>
          <w:szCs w:val="44"/>
        </w:rPr>
        <w:t>四川蜀道铁路运营管理集团有限责任公司</w:t>
      </w:r>
    </w:p>
    <w:p>
      <w:pPr>
        <w:jc w:val="center"/>
        <w:rPr>
          <w:rFonts w:ascii="黑体" w:hAnsi="黑体" w:eastAsia="黑体" w:cs="黑体"/>
          <w:b/>
          <w:sz w:val="52"/>
        </w:rPr>
      </w:pPr>
      <w:r>
        <w:rPr>
          <w:rFonts w:hint="eastAsia" w:ascii="方正小标宋简体" w:hAnsi="黑体" w:eastAsia="方正小标宋简体" w:cs="黑体"/>
          <w:kern w:val="2"/>
          <w:sz w:val="44"/>
          <w:szCs w:val="44"/>
        </w:rPr>
        <w:t>常年税务顾问服务项目</w:t>
      </w:r>
    </w:p>
    <w:p>
      <w:pPr>
        <w:jc w:val="center"/>
        <w:rPr>
          <w:rFonts w:ascii="黑体" w:hAnsi="黑体" w:eastAsia="黑体" w:cs="黑体"/>
          <w:b/>
          <w:sz w:val="32"/>
        </w:rPr>
      </w:pPr>
    </w:p>
    <w:p>
      <w:pPr>
        <w:jc w:val="center"/>
        <w:rPr>
          <w:rFonts w:ascii="黑体" w:hAnsi="黑体" w:eastAsia="黑体" w:cs="黑体"/>
          <w:b/>
          <w:sz w:val="32"/>
        </w:rPr>
      </w:pPr>
    </w:p>
    <w:p>
      <w:pPr>
        <w:jc w:val="center"/>
        <w:rPr>
          <w:rFonts w:ascii="黑体" w:hAnsi="黑体" w:eastAsia="黑体" w:cs="黑体"/>
          <w:b/>
          <w:sz w:val="32"/>
        </w:rPr>
      </w:pPr>
    </w:p>
    <w:p>
      <w:pPr>
        <w:jc w:val="center"/>
        <w:rPr>
          <w:rFonts w:ascii="黑体" w:hAnsi="黑体" w:eastAsia="黑体" w:cs="黑体"/>
          <w:b/>
          <w:sz w:val="32"/>
        </w:rPr>
      </w:pPr>
    </w:p>
    <w:p/>
    <w:p>
      <w:pPr>
        <w:jc w:val="center"/>
        <w:rPr>
          <w:rFonts w:ascii="黑体" w:hAnsi="黑体" w:eastAsia="黑体" w:cs="黑体"/>
          <w:b/>
          <w:sz w:val="72"/>
        </w:rPr>
      </w:pPr>
      <w:r>
        <w:rPr>
          <w:rFonts w:hint="eastAsia" w:ascii="黑体" w:hAnsi="黑体" w:eastAsia="黑体" w:cs="黑体"/>
          <w:b/>
          <w:sz w:val="72"/>
        </w:rPr>
        <w:t>比选申请文件</w:t>
      </w:r>
    </w:p>
    <w:p>
      <w:pPr>
        <w:jc w:val="center"/>
        <w:rPr>
          <w:rFonts w:ascii="黑体" w:hAnsi="黑体" w:eastAsia="黑体" w:cs="黑体"/>
          <w:b/>
          <w:sz w:val="32"/>
        </w:rPr>
      </w:pPr>
    </w:p>
    <w:p>
      <w:pPr>
        <w:jc w:val="center"/>
        <w:rPr>
          <w:rFonts w:ascii="黑体" w:hAnsi="黑体" w:eastAsia="黑体" w:cs="黑体"/>
          <w:b/>
          <w:sz w:val="32"/>
        </w:rPr>
      </w:pPr>
    </w:p>
    <w:p>
      <w:pPr>
        <w:jc w:val="center"/>
        <w:rPr>
          <w:rFonts w:ascii="黑体" w:hAnsi="黑体" w:eastAsia="黑体" w:cs="黑体"/>
          <w:b/>
          <w:sz w:val="32"/>
        </w:rPr>
      </w:pPr>
    </w:p>
    <w:p>
      <w:pPr>
        <w:jc w:val="center"/>
        <w:rPr>
          <w:rFonts w:ascii="黑体" w:hAnsi="黑体" w:eastAsia="黑体" w:cs="黑体"/>
          <w:b/>
          <w:sz w:val="32"/>
        </w:rPr>
      </w:pPr>
    </w:p>
    <w:p>
      <w:pPr>
        <w:jc w:val="center"/>
        <w:rPr>
          <w:rFonts w:ascii="黑体" w:hAnsi="黑体" w:eastAsia="黑体" w:cs="黑体"/>
          <w:b/>
          <w:sz w:val="32"/>
        </w:rPr>
      </w:pPr>
    </w:p>
    <w:p>
      <w:pPr>
        <w:jc w:val="both"/>
        <w:rPr>
          <w:rFonts w:ascii="黑体" w:hAnsi="黑体" w:eastAsia="黑体" w:cs="黑体"/>
          <w:b/>
          <w:sz w:val="32"/>
        </w:rPr>
      </w:pPr>
    </w:p>
    <w:p>
      <w:pPr>
        <w:jc w:val="center"/>
        <w:rPr>
          <w:rFonts w:ascii="黑体" w:hAnsi="黑体" w:eastAsia="黑体" w:cs="黑体"/>
          <w:b/>
          <w:sz w:val="28"/>
          <w:szCs w:val="28"/>
        </w:rPr>
      </w:pPr>
      <w:r>
        <w:rPr>
          <w:rFonts w:hint="eastAsia" w:ascii="黑体" w:hAnsi="黑体" w:eastAsia="黑体" w:cs="黑体"/>
          <w:b/>
          <w:sz w:val="28"/>
          <w:szCs w:val="28"/>
        </w:rPr>
        <w:t>比选申请人：</w:t>
      </w:r>
      <w:r>
        <w:rPr>
          <w:rFonts w:ascii="黑体" w:hAnsi="黑体" w:eastAsia="黑体" w:cs="黑体"/>
          <w:b/>
          <w:sz w:val="28"/>
          <w:szCs w:val="28"/>
        </w:rPr>
        <w:t>___________________________________</w:t>
      </w:r>
    </w:p>
    <w:p>
      <w:pPr>
        <w:rPr>
          <w:rFonts w:ascii="黑体" w:hAnsi="黑体" w:eastAsia="黑体" w:cs="黑体"/>
          <w:b/>
          <w:sz w:val="28"/>
          <w:szCs w:val="28"/>
        </w:rPr>
      </w:pPr>
    </w:p>
    <w:p>
      <w:pPr>
        <w:jc w:val="center"/>
        <w:rPr>
          <w:rFonts w:ascii="黑体" w:hAnsi="黑体" w:eastAsia="黑体" w:cs="黑体"/>
          <w:b/>
          <w:sz w:val="28"/>
          <w:szCs w:val="28"/>
        </w:rPr>
      </w:pPr>
      <w:r>
        <w:rPr>
          <w:rFonts w:ascii="黑体" w:hAnsi="黑体" w:eastAsia="黑体" w:cs="黑体"/>
          <w:b/>
          <w:sz w:val="28"/>
          <w:szCs w:val="28"/>
        </w:rPr>
        <w:t xml:space="preserve"> _____年___月____日</w:t>
      </w:r>
      <w:bookmarkStart w:id="8" w:name="_Toc498423073"/>
    </w:p>
    <w:p>
      <w:pPr>
        <w:adjustRightInd/>
        <w:snapToGrid/>
        <w:spacing w:after="0"/>
        <w:rPr>
          <w:rFonts w:asciiTheme="majorEastAsia" w:hAnsiTheme="majorEastAsia" w:eastAsiaTheme="majorEastAsia"/>
        </w:rPr>
      </w:pPr>
      <w:r>
        <w:rPr>
          <w:rFonts w:asciiTheme="majorEastAsia" w:hAnsiTheme="majorEastAsia" w:eastAsiaTheme="majorEastAsia"/>
        </w:rPr>
        <w:br w:type="page"/>
      </w:r>
    </w:p>
    <w:p>
      <w:pPr>
        <w:keepNext/>
        <w:spacing w:before="156" w:beforeLines="50" w:after="156" w:afterLines="50" w:line="360" w:lineRule="auto"/>
        <w:jc w:val="center"/>
        <w:outlineLvl w:val="1"/>
        <w:rPr>
          <w:rFonts w:ascii="仿宋_GB2312" w:hAnsi="宋体" w:eastAsia="仿宋_GB2312"/>
          <w:b/>
          <w:bCs/>
          <w:sz w:val="32"/>
          <w:szCs w:val="32"/>
        </w:rPr>
      </w:pPr>
      <w:bookmarkStart w:id="9" w:name="_Toc96874884"/>
      <w:bookmarkStart w:id="10" w:name="_Toc96874729"/>
      <w:r>
        <w:rPr>
          <w:rFonts w:hint="eastAsia" w:ascii="仿宋_GB2312" w:hAnsi="宋体" w:eastAsia="仿宋_GB2312"/>
          <w:b/>
          <w:bCs/>
          <w:sz w:val="32"/>
          <w:szCs w:val="32"/>
        </w:rPr>
        <w:t>目  录</w:t>
      </w:r>
      <w:bookmarkEnd w:id="9"/>
      <w:bookmarkEnd w:id="10"/>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一、比选申请函</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二、法定代表人（负责人）身份证明</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三、授权委托书（如有）</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四、税务师事务所介绍</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五、拟配备税务顾问团队</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六、拟配备顾问团队常年税务顾问业绩</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七、信誉承诺函</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八</w:t>
      </w:r>
      <w:r>
        <w:rPr>
          <w:rFonts w:ascii="仿宋_GB2312" w:hAnsi="仿宋_GB2312" w:eastAsia="仿宋_GB2312" w:cs="仿宋_GB2312"/>
          <w:sz w:val="28"/>
          <w:szCs w:val="28"/>
        </w:rPr>
        <w:t>、服务方案</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九</w:t>
      </w:r>
      <w:r>
        <w:rPr>
          <w:rFonts w:ascii="仿宋_GB2312" w:hAnsi="仿宋_GB2312" w:eastAsia="仿宋_GB2312" w:cs="仿宋_GB2312"/>
          <w:sz w:val="28"/>
          <w:szCs w:val="28"/>
        </w:rPr>
        <w:t>、其他资料（如有）</w:t>
      </w:r>
    </w:p>
    <w:p>
      <w:pPr>
        <w:spacing w:line="560" w:lineRule="exact"/>
        <w:ind w:firstLine="495" w:firstLineChars="225"/>
        <w:rPr>
          <w:rFonts w:asciiTheme="majorEastAsia" w:hAnsiTheme="majorEastAsia" w:eastAsiaTheme="majorEastAsia"/>
        </w:rPr>
      </w:pPr>
      <w:r>
        <w:rPr>
          <w:rFonts w:asciiTheme="majorEastAsia" w:hAnsiTheme="majorEastAsia" w:eastAsiaTheme="majorEastAsia"/>
        </w:rPr>
        <w:br w:type="page"/>
      </w:r>
    </w:p>
    <w:p>
      <w:pPr>
        <w:pStyle w:val="6"/>
        <w:ind w:left="0" w:firstLine="0" w:firstLineChars="0"/>
        <w:rPr>
          <w:rFonts w:asciiTheme="majorEastAsia" w:hAnsiTheme="majorEastAsia" w:eastAsiaTheme="majorEastAsia"/>
        </w:rPr>
      </w:pPr>
      <w:bookmarkStart w:id="11" w:name="_Toc96874885"/>
      <w:bookmarkStart w:id="12" w:name="_Toc96874730"/>
      <w:r>
        <w:rPr>
          <w:rFonts w:hint="eastAsia" w:asciiTheme="majorEastAsia" w:hAnsiTheme="majorEastAsia" w:eastAsiaTheme="majorEastAsia"/>
        </w:rPr>
        <w:t>一.比选申请函</w:t>
      </w:r>
      <w:bookmarkEnd w:id="8"/>
      <w:bookmarkEnd w:id="11"/>
      <w:bookmarkEnd w:id="12"/>
    </w:p>
    <w:p>
      <w:pPr>
        <w:spacing w:line="6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比选申请函</w:t>
      </w:r>
    </w:p>
    <w:p>
      <w:pPr>
        <w:spacing w:before="156" w:beforeLines="50"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w:t>
      </w:r>
      <w:r>
        <w:rPr>
          <w:rFonts w:ascii="仿宋_GB2312" w:hAnsi="仿宋_GB2312" w:eastAsia="仿宋_GB2312" w:cs="仿宋_GB2312"/>
          <w:sz w:val="28"/>
          <w:szCs w:val="28"/>
        </w:rPr>
        <w:t xml:space="preserve">                    </w:t>
      </w:r>
    </w:p>
    <w:p>
      <w:pPr>
        <w:spacing w:line="560" w:lineRule="exact"/>
        <w:ind w:firstLine="630" w:firstLineChars="225"/>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我所仔细阅读了《四川蜀道铁路运营管理集团有限责任公司常年税务顾问服务项目比选文件》内容，在对各项内容充分理解的基础上，我方按照比选文件的要求对贵公司常年税务顾问服务的报价如下：</w:t>
      </w:r>
    </w:p>
    <w:p>
      <w:pPr>
        <w:spacing w:line="560" w:lineRule="exact"/>
        <w:ind w:firstLine="630" w:firstLineChars="225"/>
        <w:jc w:val="both"/>
        <w:rPr>
          <w:rFonts w:ascii="仿宋_GB2312" w:hAnsi="仿宋_GB2312" w:eastAsia="仿宋_GB2312" w:cs="仿宋_GB2312"/>
          <w:sz w:val="28"/>
          <w:szCs w:val="28"/>
        </w:rPr>
      </w:pPr>
      <w:r>
        <w:rPr>
          <w:rFonts w:ascii="仿宋_GB2312" w:hAnsi="仿宋_GB2312" w:eastAsia="仿宋_GB2312" w:cs="仿宋_GB2312"/>
          <w:sz w:val="28"/>
          <w:szCs w:val="28"/>
        </w:rPr>
        <w:t>1.我方就该项目的报价如下：</w:t>
      </w:r>
    </w:p>
    <w:tbl>
      <w:tblPr>
        <w:tblStyle w:val="23"/>
        <w:tblW w:w="8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376" w:type="dxa"/>
            <w:vAlign w:val="center"/>
          </w:tcPr>
          <w:p>
            <w:pPr>
              <w:widowControl w:val="0"/>
              <w:spacing w:line="560" w:lineRule="exact"/>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申请人名称</w:t>
            </w:r>
          </w:p>
        </w:tc>
        <w:tc>
          <w:tcPr>
            <w:tcW w:w="5670" w:type="dxa"/>
            <w:vAlign w:val="center"/>
          </w:tcPr>
          <w:p>
            <w:pPr>
              <w:widowControl w:val="0"/>
              <w:spacing w:line="560" w:lineRule="exact"/>
              <w:ind w:firstLine="140" w:firstLineChars="5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常年税务顾问服务费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jc w:val="center"/>
        </w:trPr>
        <w:tc>
          <w:tcPr>
            <w:tcW w:w="2376" w:type="dxa"/>
            <w:vAlign w:val="center"/>
          </w:tcPr>
          <w:p>
            <w:pPr>
              <w:widowControl w:val="0"/>
              <w:spacing w:line="560" w:lineRule="exact"/>
              <w:jc w:val="center"/>
              <w:rPr>
                <w:rFonts w:ascii="仿宋_GB2312" w:hAnsi="仿宋_GB2312" w:eastAsia="仿宋_GB2312" w:cs="仿宋_GB2312"/>
                <w:kern w:val="2"/>
                <w:sz w:val="28"/>
                <w:szCs w:val="28"/>
              </w:rPr>
            </w:pPr>
          </w:p>
        </w:tc>
        <w:tc>
          <w:tcPr>
            <w:tcW w:w="5670" w:type="dxa"/>
            <w:vAlign w:val="center"/>
          </w:tcPr>
          <w:p>
            <w:pPr>
              <w:widowControl w:val="0"/>
              <w:spacing w:line="560" w:lineRule="exact"/>
              <w:ind w:firstLine="280" w:firstLineChars="1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含税</w:t>
            </w:r>
            <w:r>
              <w:rPr>
                <w:rFonts w:hint="eastAsia" w:ascii="仿宋_GB2312" w:hAnsi="仿宋_GB2312" w:eastAsia="仿宋_GB2312" w:cs="仿宋_GB2312"/>
                <w:kern w:val="2"/>
                <w:sz w:val="28"/>
                <w:szCs w:val="28"/>
              </w:rPr>
              <w:t>金额（小写）：</w:t>
            </w:r>
            <w:r>
              <w:rPr>
                <w:rFonts w:hint="eastAsia" w:ascii="仿宋_GB2312" w:hAnsi="仿宋_GB2312" w:eastAsia="仿宋_GB2312" w:cs="仿宋_GB2312"/>
                <w:kern w:val="2"/>
                <w:sz w:val="28"/>
                <w:szCs w:val="28"/>
                <w:u w:val="single"/>
              </w:rPr>
              <w:t xml:space="preserve">         </w:t>
            </w:r>
            <w:r>
              <w:rPr>
                <w:rFonts w:ascii="仿宋_GB2312" w:hAnsi="仿宋_GB2312" w:eastAsia="仿宋_GB2312" w:cs="仿宋_GB2312"/>
                <w:kern w:val="2"/>
                <w:sz w:val="28"/>
                <w:szCs w:val="28"/>
                <w:u w:val="single"/>
              </w:rPr>
              <w:t>元</w:t>
            </w:r>
            <w:r>
              <w:rPr>
                <w:rFonts w:hint="eastAsia" w:ascii="仿宋_GB2312" w:hAnsi="仿宋_GB2312" w:eastAsia="仿宋_GB2312" w:cs="仿宋_GB2312"/>
                <w:kern w:val="2"/>
                <w:sz w:val="28"/>
                <w:szCs w:val="28"/>
                <w:u w:val="single"/>
                <w:lang w:eastAsia="zh-CN"/>
              </w:rPr>
              <w:t>（</w:t>
            </w:r>
            <w:r>
              <w:rPr>
                <w:rFonts w:hint="eastAsia" w:ascii="仿宋_GB2312" w:hAnsi="仿宋_GB2312" w:eastAsia="仿宋_GB2312" w:cs="仿宋_GB2312"/>
                <w:kern w:val="2"/>
                <w:sz w:val="28"/>
                <w:szCs w:val="28"/>
                <w:u w:val="single"/>
                <w:lang w:val="en-US" w:eastAsia="zh-CN"/>
              </w:rPr>
              <w:t>税率  %</w:t>
            </w:r>
            <w:r>
              <w:rPr>
                <w:rFonts w:hint="eastAsia" w:ascii="仿宋_GB2312" w:hAnsi="仿宋_GB2312" w:eastAsia="仿宋_GB2312" w:cs="仿宋_GB2312"/>
                <w:kern w:val="2"/>
                <w:sz w:val="28"/>
                <w:szCs w:val="28"/>
                <w:u w:val="single"/>
                <w:lang w:eastAsia="zh-CN"/>
              </w:rPr>
              <w:t>）</w:t>
            </w:r>
          </w:p>
          <w:p>
            <w:pPr>
              <w:widowControl w:val="0"/>
              <w:spacing w:line="560" w:lineRule="exact"/>
              <w:ind w:firstLine="280" w:firstLineChars="1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(大写：</w:t>
            </w:r>
            <w:r>
              <w:rPr>
                <w:rFonts w:hint="eastAsia" w:ascii="仿宋_GB2312" w:hAnsi="仿宋_GB2312" w:eastAsia="仿宋_GB2312" w:cs="仿宋_GB2312"/>
                <w:kern w:val="2"/>
                <w:sz w:val="28"/>
                <w:szCs w:val="28"/>
              </w:rPr>
              <w:t>人民币</w:t>
            </w:r>
            <w:r>
              <w:rPr>
                <w:rFonts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u w:val="single"/>
              </w:rPr>
              <w:t xml:space="preserve">        </w:t>
            </w:r>
            <w:r>
              <w:rPr>
                <w:rFonts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w:t>
            </w:r>
          </w:p>
        </w:tc>
      </w:tr>
    </w:tbl>
    <w:p>
      <w:pPr>
        <w:spacing w:line="560" w:lineRule="exact"/>
        <w:ind w:firstLine="630" w:firstLineChars="225"/>
        <w:jc w:val="both"/>
        <w:rPr>
          <w:rFonts w:ascii="仿宋_GB2312" w:hAnsi="仿宋_GB2312" w:eastAsia="仿宋_GB2312" w:cs="仿宋_GB2312"/>
          <w:sz w:val="28"/>
          <w:szCs w:val="28"/>
        </w:rPr>
      </w:pPr>
      <w:r>
        <w:rPr>
          <w:rFonts w:ascii="仿宋_GB2312" w:hAnsi="仿宋_GB2312" w:eastAsia="仿宋_GB2312" w:cs="仿宋_GB2312"/>
          <w:sz w:val="28"/>
          <w:szCs w:val="28"/>
        </w:rPr>
        <w:t>2.上述报价是建立在满足</w:t>
      </w:r>
      <w:r>
        <w:rPr>
          <w:rFonts w:hint="eastAsia" w:ascii="仿宋_GB2312" w:hAnsi="仿宋_GB2312" w:eastAsia="仿宋_GB2312" w:cs="仿宋_GB2312"/>
          <w:sz w:val="28"/>
          <w:szCs w:val="28"/>
        </w:rPr>
        <w:t>比选文件要求的基础上，所有与之相关费用。</w:t>
      </w:r>
    </w:p>
    <w:p>
      <w:pPr>
        <w:spacing w:line="560" w:lineRule="exact"/>
        <w:rPr>
          <w:rFonts w:ascii="仿宋_GB2312" w:hAnsi="仿宋_GB2312" w:eastAsia="仿宋_GB2312" w:cs="仿宋_GB2312"/>
          <w:sz w:val="28"/>
          <w:szCs w:val="28"/>
        </w:rPr>
      </w:pPr>
    </w:p>
    <w:p>
      <w:pPr>
        <w:spacing w:line="560" w:lineRule="exact"/>
        <w:ind w:right="640"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szCs w:val="28"/>
        </w:rPr>
        <w:t>比选申请人：</w:t>
      </w:r>
      <w:r>
        <w:rPr>
          <w:rFonts w:ascii="仿宋_GB2312" w:hAnsi="仿宋_GB2312" w:eastAsia="仿宋_GB2312" w:cs="仿宋_GB2312"/>
          <w:sz w:val="28"/>
          <w:szCs w:val="28"/>
        </w:rPr>
        <w:t xml:space="preserve">                （单位盖章）</w:t>
      </w:r>
    </w:p>
    <w:p>
      <w:pPr>
        <w:spacing w:line="560" w:lineRule="exact"/>
        <w:ind w:firstLine="840" w:firstLineChars="300"/>
        <w:rPr>
          <w:rFonts w:ascii="仿宋_GB2312" w:hAnsi="仿宋_GB2312" w:eastAsia="仿宋_GB2312" w:cs="仿宋_GB2312"/>
          <w:sz w:val="28"/>
          <w:szCs w:val="28"/>
        </w:rPr>
      </w:pPr>
      <w:r>
        <w:rPr>
          <w:rFonts w:hint="eastAsia" w:ascii="仿宋_GB2312" w:hAnsi="仿宋_GB2312" w:eastAsia="仿宋_GB2312" w:cs="仿宋_GB2312"/>
          <w:sz w:val="28"/>
        </w:rPr>
        <w:t>法定代表人（负责人）</w:t>
      </w:r>
      <w:r>
        <w:rPr>
          <w:rFonts w:hint="eastAsia" w:ascii="仿宋_GB2312" w:hAnsi="仿宋_GB2312" w:eastAsia="仿宋_GB2312" w:cs="仿宋_GB2312"/>
          <w:sz w:val="28"/>
          <w:szCs w:val="28"/>
        </w:rPr>
        <w:t>或授权代理人：</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（签字）</w:t>
      </w:r>
    </w:p>
    <w:p>
      <w:pPr>
        <w:spacing w:line="560" w:lineRule="exact"/>
        <w:ind w:firstLine="630" w:firstLineChars="225"/>
        <w:jc w:val="right"/>
        <w:rPr>
          <w:rFonts w:ascii="仿宋_GB2312" w:hAnsi="仿宋_GB2312" w:eastAsia="仿宋_GB2312" w:cs="仿宋_GB2312"/>
          <w:sz w:val="28"/>
          <w:szCs w:val="28"/>
        </w:rPr>
      </w:pP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ind w:right="1120"/>
        <w:rPr>
          <w:rFonts w:asciiTheme="majorEastAsia" w:hAnsiTheme="majorEastAsia" w:eastAsiaTheme="majorEastAsia"/>
          <w:sz w:val="28"/>
          <w:szCs w:val="28"/>
        </w:rPr>
      </w:pPr>
      <w:r>
        <w:rPr>
          <w:rFonts w:asciiTheme="majorEastAsia" w:hAnsiTheme="majorEastAsia" w:eastAsiaTheme="majorEastAsia"/>
          <w:sz w:val="28"/>
          <w:szCs w:val="28"/>
        </w:rPr>
        <w:br w:type="page"/>
      </w:r>
    </w:p>
    <w:p>
      <w:pPr>
        <w:pStyle w:val="6"/>
        <w:ind w:left="0" w:firstLine="0" w:firstLineChars="0"/>
        <w:rPr>
          <w:rFonts w:asciiTheme="majorEastAsia" w:hAnsiTheme="majorEastAsia" w:eastAsiaTheme="majorEastAsia"/>
          <w:b/>
        </w:rPr>
      </w:pPr>
      <w:bookmarkStart w:id="13" w:name="_Toc96874731"/>
      <w:bookmarkStart w:id="14" w:name="_Toc498423074"/>
      <w:bookmarkStart w:id="15" w:name="_Toc96874886"/>
      <w:r>
        <w:rPr>
          <w:rFonts w:hint="eastAsia" w:asciiTheme="majorEastAsia" w:hAnsiTheme="majorEastAsia" w:eastAsiaTheme="majorEastAsia"/>
        </w:rPr>
        <w:t>二.法定代表人（负责人）身份证明</w:t>
      </w:r>
      <w:bookmarkEnd w:id="13"/>
      <w:bookmarkEnd w:id="14"/>
      <w:bookmarkEnd w:id="15"/>
    </w:p>
    <w:p>
      <w:pPr>
        <w:spacing w:line="6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法定代表人（负责人）身份证明</w:t>
      </w:r>
    </w:p>
    <w:p>
      <w:pPr>
        <w:spacing w:line="560" w:lineRule="exact"/>
        <w:rPr>
          <w:rFonts w:ascii="仿宋_GB2312" w:hAnsi="仿宋_GB2312" w:eastAsia="仿宋_GB2312" w:cs="仿宋_GB2312"/>
          <w:sz w:val="32"/>
        </w:rPr>
      </w:pPr>
      <w:r>
        <w:rPr>
          <w:rFonts w:hint="eastAsia" w:ascii="仿宋_GB2312" w:hAnsi="仿宋_GB2312" w:eastAsia="仿宋_GB2312" w:cs="仿宋_GB2312"/>
          <w:sz w:val="28"/>
        </w:rPr>
        <w:t>申请人名称：</w:t>
      </w:r>
      <w:r>
        <w:rPr>
          <w:rFonts w:ascii="仿宋_GB2312" w:hAnsi="仿宋_GB2312" w:eastAsia="仿宋_GB2312" w:cs="仿宋_GB2312"/>
          <w:sz w:val="24"/>
          <w:u w:val="single"/>
        </w:rPr>
        <w:t xml:space="preserve">            </w:t>
      </w:r>
      <w:r>
        <w:rPr>
          <w:rFonts w:ascii="仿宋_GB2312" w:hAnsi="仿宋_GB2312" w:eastAsia="仿宋_GB2312" w:cs="仿宋_GB2312"/>
          <w:sz w:val="32"/>
          <w:u w:val="single"/>
        </w:rPr>
        <w:t xml:space="preserve">                          </w:t>
      </w:r>
    </w:p>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单位性质：</w:t>
      </w:r>
      <w:r>
        <w:rPr>
          <w:rFonts w:ascii="仿宋_GB2312" w:hAnsi="仿宋_GB2312" w:eastAsia="仿宋_GB2312" w:cs="仿宋_GB2312"/>
          <w:sz w:val="28"/>
          <w:u w:val="single"/>
        </w:rPr>
        <w:t xml:space="preserve">                                          </w:t>
      </w:r>
    </w:p>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地址：</w:t>
      </w:r>
      <w:r>
        <w:rPr>
          <w:rFonts w:ascii="仿宋_GB2312" w:hAnsi="仿宋_GB2312" w:eastAsia="仿宋_GB2312" w:cs="仿宋_GB2312"/>
          <w:sz w:val="28"/>
          <w:u w:val="single"/>
        </w:rPr>
        <w:t xml:space="preserve">                                              </w:t>
      </w:r>
    </w:p>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成立时间：</w:t>
      </w:r>
      <w:r>
        <w:rPr>
          <w:rFonts w:ascii="仿宋_GB2312" w:hAnsi="仿宋_GB2312" w:eastAsia="仿宋_GB2312" w:cs="仿宋_GB2312"/>
          <w:sz w:val="28"/>
          <w:u w:val="single"/>
        </w:rPr>
        <w:t xml:space="preserve">                                          </w:t>
      </w:r>
    </w:p>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经营期限：</w:t>
      </w:r>
      <w:r>
        <w:rPr>
          <w:rFonts w:ascii="仿宋_GB2312" w:hAnsi="仿宋_GB2312" w:eastAsia="仿宋_GB2312" w:cs="仿宋_GB2312"/>
          <w:sz w:val="28"/>
          <w:u w:val="single"/>
        </w:rPr>
        <w:t xml:space="preserve">                </w:t>
      </w:r>
      <w:r>
        <w:rPr>
          <w:rFonts w:hint="eastAsia" w:ascii="仿宋_GB2312" w:hAnsi="仿宋_GB2312" w:eastAsia="仿宋_GB2312" w:cs="仿宋_GB2312"/>
          <w:sz w:val="28"/>
          <w:u w:val="single"/>
        </w:rPr>
        <w:t xml:space="preserve"> </w:t>
      </w:r>
      <w:r>
        <w:rPr>
          <w:rFonts w:ascii="仿宋_GB2312" w:hAnsi="仿宋_GB2312" w:eastAsia="仿宋_GB2312" w:cs="仿宋_GB2312"/>
          <w:sz w:val="28"/>
          <w:u w:val="single"/>
        </w:rPr>
        <w:t xml:space="preserve">                         </w:t>
      </w:r>
    </w:p>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姓名：</w:t>
      </w:r>
      <w:r>
        <w:rPr>
          <w:rFonts w:ascii="仿宋_GB2312" w:hAnsi="仿宋_GB2312" w:eastAsia="仿宋_GB2312" w:cs="仿宋_GB2312"/>
          <w:sz w:val="28"/>
          <w:u w:val="single"/>
        </w:rPr>
        <w:t xml:space="preserve">        </w:t>
      </w:r>
      <w:r>
        <w:rPr>
          <w:rFonts w:hint="eastAsia" w:ascii="仿宋_GB2312" w:hAnsi="仿宋_GB2312" w:eastAsia="仿宋_GB2312" w:cs="仿宋_GB2312"/>
          <w:u w:val="single"/>
        </w:rPr>
        <w:t>（法定代表人（负责人）签字）</w:t>
      </w:r>
      <w:r>
        <w:rPr>
          <w:rFonts w:hint="eastAsia" w:ascii="仿宋_GB2312" w:hAnsi="仿宋_GB2312" w:eastAsia="仿宋_GB2312" w:cs="仿宋_GB2312"/>
          <w:sz w:val="28"/>
        </w:rPr>
        <w:t>性别：</w:t>
      </w:r>
      <w:r>
        <w:rPr>
          <w:rFonts w:ascii="仿宋_GB2312" w:hAnsi="仿宋_GB2312" w:eastAsia="仿宋_GB2312" w:cs="仿宋_GB2312"/>
          <w:sz w:val="28"/>
          <w:u w:val="single"/>
        </w:rPr>
        <w:t xml:space="preserve">      </w:t>
      </w:r>
      <w:r>
        <w:rPr>
          <w:rFonts w:hint="eastAsia" w:ascii="仿宋_GB2312" w:hAnsi="仿宋_GB2312" w:eastAsia="仿宋_GB2312" w:cs="仿宋_GB2312"/>
          <w:sz w:val="28"/>
        </w:rPr>
        <w:t>年龄：</w:t>
      </w:r>
      <w:r>
        <w:rPr>
          <w:rFonts w:ascii="仿宋_GB2312" w:hAnsi="仿宋_GB2312" w:eastAsia="仿宋_GB2312" w:cs="仿宋_GB2312"/>
          <w:sz w:val="28"/>
          <w:u w:val="single"/>
        </w:rPr>
        <w:t xml:space="preserve">      </w:t>
      </w:r>
    </w:p>
    <w:p>
      <w:pPr>
        <w:spacing w:line="560" w:lineRule="exact"/>
        <w:rPr>
          <w:rFonts w:ascii="仿宋_GB2312" w:hAnsi="仿宋_GB2312" w:eastAsia="仿宋_GB2312" w:cs="仿宋_GB2312"/>
          <w:sz w:val="28"/>
        </w:rPr>
      </w:pPr>
      <w:r>
        <w:rPr>
          <w:rFonts w:hint="eastAsia" w:ascii="仿宋_GB2312" w:hAnsi="仿宋_GB2312" w:eastAsia="仿宋_GB2312" w:cs="仿宋_GB2312"/>
          <w:sz w:val="28"/>
        </w:rPr>
        <w:t>职务：</w:t>
      </w:r>
      <w:r>
        <w:rPr>
          <w:rFonts w:ascii="仿宋_GB2312" w:hAnsi="仿宋_GB2312" w:eastAsia="仿宋_GB2312" w:cs="仿宋_GB2312"/>
          <w:sz w:val="28"/>
          <w:u w:val="single"/>
        </w:rPr>
        <w:t xml:space="preserve">         </w:t>
      </w:r>
      <w:r>
        <w:rPr>
          <w:rFonts w:hint="eastAsia" w:ascii="仿宋_GB2312" w:hAnsi="仿宋_GB2312" w:eastAsia="仿宋_GB2312" w:cs="仿宋_GB2312"/>
          <w:sz w:val="28"/>
        </w:rPr>
        <w:t>系</w:t>
      </w:r>
      <w:r>
        <w:rPr>
          <w:rFonts w:ascii="仿宋_GB2312" w:hAnsi="仿宋_GB2312" w:eastAsia="仿宋_GB2312" w:cs="仿宋_GB2312"/>
          <w:sz w:val="28"/>
          <w:u w:val="single"/>
        </w:rPr>
        <w:t xml:space="preserve">                     </w:t>
      </w:r>
      <w:r>
        <w:rPr>
          <w:rFonts w:hint="eastAsia" w:ascii="仿宋_GB2312" w:hAnsi="仿宋_GB2312" w:eastAsia="仿宋_GB2312" w:cs="仿宋_GB2312"/>
          <w:u w:val="single"/>
        </w:rPr>
        <w:t>（申请人名称）</w:t>
      </w:r>
      <w:r>
        <w:rPr>
          <w:rFonts w:hint="eastAsia" w:ascii="仿宋_GB2312" w:hAnsi="仿宋_GB2312" w:eastAsia="仿宋_GB2312" w:cs="仿宋_GB2312"/>
          <w:sz w:val="28"/>
        </w:rPr>
        <w:t>的法定代表人（负责人）。</w:t>
      </w:r>
    </w:p>
    <w:p>
      <w:pPr>
        <w:spacing w:line="560" w:lineRule="exact"/>
        <w:ind w:firstLine="420" w:firstLineChars="150"/>
        <w:rPr>
          <w:rFonts w:ascii="仿宋_GB2312" w:hAnsi="仿宋_GB2312" w:eastAsia="仿宋_GB2312" w:cs="仿宋_GB2312"/>
          <w:sz w:val="28"/>
        </w:rPr>
      </w:pPr>
      <w:r>
        <w:rPr>
          <w:rFonts w:hint="eastAsia" w:ascii="仿宋_GB2312" w:hAnsi="仿宋_GB2312" w:eastAsia="仿宋_GB2312" w:cs="仿宋_GB2312"/>
          <w:sz w:val="28"/>
        </w:rPr>
        <w:t>特此证明。</w:t>
      </w:r>
    </w:p>
    <w:p>
      <w:pPr>
        <w:spacing w:line="560" w:lineRule="exact"/>
        <w:rPr>
          <w:rFonts w:ascii="仿宋_GB2312" w:hAnsi="仿宋_GB2312" w:eastAsia="仿宋_GB2312" w:cs="仿宋_GB2312"/>
          <w:sz w:val="28"/>
        </w:rPr>
      </w:pPr>
    </w:p>
    <w:p>
      <w:pPr>
        <w:spacing w:line="560" w:lineRule="exact"/>
        <w:rPr>
          <w:rFonts w:ascii="仿宋_GB2312" w:hAnsi="仿宋_GB2312" w:eastAsia="仿宋_GB2312" w:cs="仿宋_GB2312"/>
          <w:sz w:val="28"/>
        </w:rPr>
      </w:pPr>
      <w:r>
        <w:rPr>
          <w:rFonts w:ascii="仿宋_GB2312" w:hAnsi="仿宋_GB2312" w:eastAsia="仿宋_GB2312" w:cs="仿宋_GB2312"/>
          <w:sz w:val="28"/>
        </w:rPr>
        <w:t xml:space="preserve">              比选</w:t>
      </w:r>
      <w:r>
        <w:rPr>
          <w:rFonts w:hint="eastAsia" w:ascii="仿宋_GB2312" w:hAnsi="仿宋_GB2312" w:eastAsia="仿宋_GB2312" w:cs="仿宋_GB2312"/>
          <w:sz w:val="28"/>
        </w:rPr>
        <w:t>申请人：</w:t>
      </w:r>
      <w:r>
        <w:rPr>
          <w:rFonts w:hint="eastAsia" w:ascii="仿宋_GB2312" w:hAnsi="仿宋_GB2312" w:eastAsia="仿宋_GB2312" w:cs="仿宋_GB2312"/>
          <w:sz w:val="28"/>
          <w:u w:val="single"/>
        </w:rPr>
        <w:t xml:space="preserve"> </w:t>
      </w:r>
      <w:r>
        <w:rPr>
          <w:rFonts w:ascii="仿宋_GB2312" w:hAnsi="仿宋_GB2312" w:eastAsia="仿宋_GB2312" w:cs="仿宋_GB2312"/>
          <w:sz w:val="28"/>
          <w:u w:val="single"/>
        </w:rPr>
        <w:t xml:space="preserve">                        </w:t>
      </w:r>
      <w:r>
        <w:rPr>
          <w:rFonts w:hint="eastAsia" w:ascii="仿宋_GB2312" w:hAnsi="仿宋_GB2312" w:eastAsia="仿宋_GB2312" w:cs="仿宋_GB2312"/>
          <w:sz w:val="28"/>
        </w:rPr>
        <w:t>（盖章）</w:t>
      </w:r>
    </w:p>
    <w:p>
      <w:pPr>
        <w:spacing w:line="560" w:lineRule="exact"/>
        <w:ind w:firstLine="5740" w:firstLineChars="2050"/>
        <w:rPr>
          <w:rFonts w:asciiTheme="majorEastAsia" w:hAnsiTheme="majorEastAsia" w:eastAsiaTheme="majorEastAsia"/>
        </w:rPr>
      </w:pPr>
      <w:r>
        <w:rPr>
          <w:rFonts w:hint="eastAsia" w:ascii="仿宋_GB2312" w:hAnsi="仿宋_GB2312" w:eastAsia="仿宋_GB2312" w:cs="仿宋_GB2312"/>
          <w:sz w:val="28"/>
        </w:rPr>
        <w:t>年</w:t>
      </w:r>
      <w:r>
        <w:rPr>
          <w:rFonts w:ascii="仿宋_GB2312" w:hAnsi="仿宋_GB2312" w:eastAsia="仿宋_GB2312" w:cs="仿宋_GB2312"/>
          <w:sz w:val="28"/>
        </w:rPr>
        <w:t xml:space="preserve">  </w:t>
      </w:r>
      <w:r>
        <w:rPr>
          <w:rFonts w:hint="eastAsia" w:ascii="仿宋_GB2312" w:hAnsi="仿宋_GB2312" w:eastAsia="仿宋_GB2312" w:cs="仿宋_GB2312"/>
          <w:sz w:val="28"/>
        </w:rPr>
        <w:t xml:space="preserve"> 月</w:t>
      </w:r>
      <w:r>
        <w:rPr>
          <w:rFonts w:ascii="仿宋_GB2312" w:hAnsi="仿宋_GB2312" w:eastAsia="仿宋_GB2312" w:cs="仿宋_GB2312"/>
          <w:sz w:val="28"/>
        </w:rPr>
        <w:t xml:space="preserve">  </w:t>
      </w:r>
      <w:r>
        <w:rPr>
          <w:rFonts w:hint="eastAsia" w:ascii="仿宋_GB2312" w:hAnsi="仿宋_GB2312" w:eastAsia="仿宋_GB2312" w:cs="仿宋_GB2312"/>
          <w:sz w:val="28"/>
        </w:rPr>
        <w:t xml:space="preserve"> 日</w:t>
      </w:r>
    </w:p>
    <w:p>
      <w:pPr>
        <w:rPr>
          <w:rFonts w:asciiTheme="majorEastAsia" w:hAnsiTheme="majorEastAsia" w:eastAsiaTheme="majorEastAsia"/>
          <w:b/>
        </w:rPr>
      </w:pPr>
    </w:p>
    <w:p>
      <w:pPr>
        <w:rPr>
          <w:rFonts w:asciiTheme="majorEastAsia" w:hAnsiTheme="majorEastAsia" w:eastAsiaTheme="majorEastAsia"/>
        </w:rPr>
      </w:pPr>
    </w:p>
    <w:p>
      <w:pPr>
        <w:spacing w:after="0" w:line="360" w:lineRule="auto"/>
        <w:rPr>
          <w:rFonts w:asciiTheme="majorEastAsia" w:hAnsiTheme="majorEastAsia" w:eastAsiaTheme="majorEastAsia"/>
        </w:rPr>
      </w:pPr>
      <w:r>
        <w:rPr>
          <w:rFonts w:hint="eastAsia" w:asciiTheme="majorEastAsia" w:hAnsiTheme="majorEastAsia" w:eastAsiaTheme="majorEastAsia"/>
        </w:rPr>
        <w:t>注：1.法定代表人（负责人）的签字必须是亲笔签名，不得使用印章、签名章或其他电子制版签名；</w:t>
      </w:r>
    </w:p>
    <w:p>
      <w:pPr>
        <w:spacing w:after="0" w:line="360" w:lineRule="auto"/>
        <w:rPr>
          <w:rFonts w:asciiTheme="majorEastAsia" w:hAnsiTheme="majorEastAsia" w:eastAsiaTheme="majorEastAsia"/>
        </w:rPr>
      </w:pPr>
      <w:r>
        <w:rPr>
          <w:rFonts w:hint="eastAsia" w:asciiTheme="majorEastAsia" w:hAnsiTheme="majorEastAsia" w:eastAsiaTheme="majorEastAsia"/>
        </w:rPr>
        <w:t xml:space="preserve">    2.后附法定代表人（负责人）的身份证复印件（彩色或黑白），并盖公章。</w:t>
      </w:r>
      <w:bookmarkStart w:id="16" w:name="_Toc498423075"/>
    </w:p>
    <w:p>
      <w:pPr>
        <w:pStyle w:val="6"/>
        <w:ind w:left="0" w:firstLine="0" w:firstLineChars="0"/>
        <w:rPr>
          <w:rFonts w:asciiTheme="majorEastAsia" w:hAnsiTheme="majorEastAsia" w:eastAsiaTheme="majorEastAsia"/>
        </w:rPr>
      </w:pPr>
      <w:r>
        <w:rPr>
          <w:rFonts w:asciiTheme="majorEastAsia" w:hAnsiTheme="majorEastAsia" w:eastAsiaTheme="majorEastAsia"/>
        </w:rPr>
        <w:br w:type="page"/>
      </w:r>
    </w:p>
    <w:p>
      <w:pPr>
        <w:pStyle w:val="6"/>
        <w:ind w:left="0" w:firstLine="0" w:firstLineChars="0"/>
        <w:rPr>
          <w:rFonts w:asciiTheme="majorEastAsia" w:hAnsiTheme="majorEastAsia" w:eastAsiaTheme="majorEastAsia"/>
        </w:rPr>
      </w:pPr>
      <w:bookmarkStart w:id="17" w:name="_Toc96874887"/>
      <w:bookmarkStart w:id="18" w:name="_Toc96874732"/>
      <w:r>
        <w:rPr>
          <w:rFonts w:hint="eastAsia" w:asciiTheme="majorEastAsia" w:hAnsiTheme="majorEastAsia" w:eastAsiaTheme="majorEastAsia"/>
        </w:rPr>
        <w:t>三.授权委托书（如有）</w:t>
      </w:r>
      <w:bookmarkEnd w:id="16"/>
      <w:bookmarkEnd w:id="17"/>
      <w:bookmarkEnd w:id="18"/>
    </w:p>
    <w:p>
      <w:pPr>
        <w:spacing w:line="6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授权委托书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ascii="仿宋_GB2312" w:hAnsi="仿宋_GB2312" w:eastAsia="仿宋_GB2312" w:cs="仿宋_GB2312"/>
          <w:sz w:val="28"/>
        </w:rPr>
      </w:pPr>
      <w:r>
        <w:rPr>
          <w:rFonts w:hint="eastAsia" w:ascii="仿宋_GB2312" w:hAnsi="仿宋_GB2312" w:eastAsia="仿宋_GB2312" w:cs="仿宋_GB2312"/>
          <w:sz w:val="28"/>
        </w:rPr>
        <w:t>本人</w:t>
      </w:r>
      <w:r>
        <w:rPr>
          <w:rFonts w:ascii="仿宋_GB2312" w:hAnsi="仿宋_GB2312" w:eastAsia="仿宋_GB2312" w:cs="仿宋_GB2312"/>
          <w:sz w:val="28"/>
          <w:u w:val="single"/>
        </w:rPr>
        <w:t xml:space="preserve">   （姓名）</w:t>
      </w:r>
      <w:r>
        <w:rPr>
          <w:rFonts w:hint="eastAsia" w:ascii="仿宋_GB2312" w:hAnsi="仿宋_GB2312" w:eastAsia="仿宋_GB2312" w:cs="仿宋_GB2312"/>
          <w:sz w:val="28"/>
        </w:rPr>
        <w:t>系</w:t>
      </w:r>
      <w:r>
        <w:rPr>
          <w:rFonts w:ascii="仿宋_GB2312" w:hAnsi="仿宋_GB2312" w:eastAsia="仿宋_GB2312" w:cs="仿宋_GB2312"/>
          <w:sz w:val="28"/>
          <w:u w:val="single"/>
        </w:rPr>
        <w:t xml:space="preserve">                  （</w:t>
      </w:r>
      <w:r>
        <w:rPr>
          <w:rFonts w:hint="eastAsia" w:ascii="仿宋_GB2312" w:hAnsi="仿宋_GB2312" w:eastAsia="仿宋_GB2312" w:cs="仿宋_GB2312"/>
          <w:sz w:val="28"/>
          <w:u w:val="single"/>
        </w:rPr>
        <w:t>申请人名称）</w:t>
      </w:r>
      <w:r>
        <w:rPr>
          <w:rFonts w:hint="eastAsia" w:ascii="仿宋_GB2312" w:hAnsi="仿宋_GB2312" w:eastAsia="仿宋_GB2312" w:cs="仿宋_GB2312"/>
          <w:sz w:val="28"/>
        </w:rPr>
        <w:t>法定代表人（负责人），现委托</w:t>
      </w:r>
      <w:r>
        <w:rPr>
          <w:rFonts w:ascii="仿宋_GB2312" w:hAnsi="仿宋_GB2312" w:eastAsia="仿宋_GB2312" w:cs="仿宋_GB2312"/>
          <w:sz w:val="28"/>
          <w:u w:val="single"/>
        </w:rPr>
        <w:t xml:space="preserve">           （姓名）</w:t>
      </w:r>
      <w:r>
        <w:rPr>
          <w:rFonts w:hint="eastAsia" w:ascii="仿宋_GB2312" w:hAnsi="仿宋_GB2312" w:eastAsia="仿宋_GB2312" w:cs="仿宋_GB2312"/>
          <w:sz w:val="28"/>
        </w:rPr>
        <w:t>为我方代理人。代理人根据授权，以我方名义签署、澄清、说明、补正、递交、撤回、修改</w:t>
      </w:r>
      <w:r>
        <w:rPr>
          <w:rFonts w:hint="eastAsia" w:ascii="仿宋_GB2312" w:hAnsi="仿宋_GB2312" w:eastAsia="仿宋_GB2312" w:cs="仿宋_GB2312"/>
          <w:sz w:val="28"/>
          <w:szCs w:val="28"/>
        </w:rPr>
        <w:t>四川蜀道铁路运营管理集团有限责任公司常年税务顾问服务项目比选申请文件</w:t>
      </w:r>
      <w:r>
        <w:rPr>
          <w:rFonts w:hint="eastAsia" w:ascii="仿宋_GB2312" w:hAnsi="仿宋_GB2312" w:eastAsia="仿宋_GB2312" w:cs="仿宋_GB2312"/>
          <w:sz w:val="28"/>
        </w:rPr>
        <w:t>及处理有关事宜，其法律后果由我方承担。</w:t>
      </w:r>
    </w:p>
    <w:p>
      <w:pPr>
        <w:keepNext w:val="0"/>
        <w:keepLines w:val="0"/>
        <w:pageBreakBefore w:val="0"/>
        <w:widowControl/>
        <w:kinsoku/>
        <w:wordWrap/>
        <w:overflowPunct/>
        <w:topLinePunct w:val="0"/>
        <w:autoSpaceDE/>
        <w:autoSpaceDN/>
        <w:bidi w:val="0"/>
        <w:adjustRightInd w:val="0"/>
        <w:snapToGrid w:val="0"/>
        <w:spacing w:before="156" w:line="240" w:lineRule="auto"/>
        <w:ind w:firstLine="700" w:firstLineChars="25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委托期限：本项目比选有效期内。</w:t>
      </w:r>
    </w:p>
    <w:p>
      <w:pPr>
        <w:keepNext w:val="0"/>
        <w:keepLines w:val="0"/>
        <w:pageBreakBefore w:val="0"/>
        <w:widowControl/>
        <w:kinsoku/>
        <w:wordWrap/>
        <w:overflowPunct/>
        <w:topLinePunct w:val="0"/>
        <w:autoSpaceDE/>
        <w:autoSpaceDN/>
        <w:bidi w:val="0"/>
        <w:adjustRightInd w:val="0"/>
        <w:snapToGrid w:val="0"/>
        <w:spacing w:before="156" w:line="240" w:lineRule="auto"/>
        <w:ind w:firstLine="700" w:firstLineChars="25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代理人无转委托权。</w:t>
      </w:r>
    </w:p>
    <w:p>
      <w:pPr>
        <w:spacing w:before="156" w:line="560" w:lineRule="exact"/>
        <w:rPr>
          <w:rFonts w:ascii="仿宋_GB2312" w:hAnsi="仿宋_GB2312" w:eastAsia="仿宋_GB2312" w:cs="仿宋_GB2312"/>
          <w:sz w:val="28"/>
        </w:rPr>
      </w:pPr>
      <w:r>
        <w:rPr>
          <w:rFonts w:hint="eastAsia" w:ascii="仿宋_GB2312" w:hAnsi="仿宋_GB2312" w:eastAsia="仿宋_GB2312" w:cs="仿宋_GB2312"/>
          <w:sz w:val="28"/>
        </w:rPr>
        <w:t>比选申请人：</w:t>
      </w:r>
      <w:r>
        <w:rPr>
          <w:rFonts w:ascii="仿宋_GB2312" w:hAnsi="仿宋_GB2312" w:eastAsia="仿宋_GB2312" w:cs="仿宋_GB2312"/>
          <w:sz w:val="28"/>
          <w:u w:val="single"/>
        </w:rPr>
        <w:t xml:space="preserve">                                  </w:t>
      </w:r>
      <w:r>
        <w:rPr>
          <w:rFonts w:ascii="仿宋_GB2312" w:hAnsi="仿宋_GB2312" w:eastAsia="仿宋_GB2312" w:cs="仿宋_GB2312"/>
          <w:sz w:val="28"/>
        </w:rPr>
        <w:t>（盖章）</w:t>
      </w:r>
    </w:p>
    <w:p>
      <w:pPr>
        <w:spacing w:before="156" w:line="560" w:lineRule="exact"/>
        <w:rPr>
          <w:rFonts w:ascii="仿宋_GB2312" w:hAnsi="仿宋_GB2312" w:eastAsia="仿宋_GB2312" w:cs="仿宋_GB2312"/>
          <w:sz w:val="28"/>
        </w:rPr>
      </w:pPr>
      <w:r>
        <w:rPr>
          <w:rFonts w:hint="eastAsia" w:ascii="仿宋_GB2312" w:hAnsi="仿宋_GB2312" w:eastAsia="仿宋_GB2312" w:cs="仿宋_GB2312"/>
          <w:sz w:val="28"/>
        </w:rPr>
        <w:t>法定代表人（负责人）：</w:t>
      </w:r>
      <w:r>
        <w:rPr>
          <w:rFonts w:ascii="仿宋_GB2312" w:hAnsi="仿宋_GB2312" w:eastAsia="仿宋_GB2312" w:cs="仿宋_GB2312"/>
          <w:sz w:val="28"/>
          <w:u w:val="single"/>
        </w:rPr>
        <w:t xml:space="preserve">                  </w:t>
      </w:r>
      <w:r>
        <w:rPr>
          <w:rFonts w:ascii="仿宋_GB2312" w:hAnsi="仿宋_GB2312" w:eastAsia="仿宋_GB2312" w:cs="仿宋_GB2312"/>
          <w:sz w:val="28"/>
        </w:rPr>
        <w:t>（签字）</w:t>
      </w:r>
    </w:p>
    <w:p>
      <w:pPr>
        <w:spacing w:before="156" w:line="560" w:lineRule="exact"/>
        <w:rPr>
          <w:rFonts w:ascii="仿宋_GB2312" w:hAnsi="仿宋_GB2312" w:eastAsia="仿宋_GB2312" w:cs="仿宋_GB2312"/>
          <w:sz w:val="28"/>
        </w:rPr>
      </w:pPr>
      <w:r>
        <w:rPr>
          <w:rFonts w:hint="eastAsia" w:ascii="仿宋_GB2312" w:hAnsi="仿宋_GB2312" w:eastAsia="仿宋_GB2312" w:cs="仿宋_GB2312"/>
          <w:sz w:val="28"/>
        </w:rPr>
        <w:t>身份证号码：</w:t>
      </w:r>
      <w:r>
        <w:rPr>
          <w:rFonts w:ascii="仿宋_GB2312" w:hAnsi="仿宋_GB2312" w:eastAsia="仿宋_GB2312" w:cs="仿宋_GB2312"/>
          <w:sz w:val="28"/>
          <w:u w:val="single"/>
        </w:rPr>
        <w:t xml:space="preserve">                             </w:t>
      </w:r>
    </w:p>
    <w:p>
      <w:pPr>
        <w:spacing w:before="156" w:line="560" w:lineRule="exact"/>
        <w:rPr>
          <w:rFonts w:ascii="仿宋_GB2312" w:hAnsi="仿宋_GB2312" w:eastAsia="仿宋_GB2312" w:cs="仿宋_GB2312"/>
          <w:sz w:val="28"/>
        </w:rPr>
      </w:pPr>
      <w:r>
        <w:rPr>
          <w:rFonts w:hint="eastAsia" w:ascii="仿宋_GB2312" w:hAnsi="仿宋_GB2312" w:eastAsia="仿宋_GB2312" w:cs="仿宋_GB2312"/>
          <w:sz w:val="28"/>
        </w:rPr>
        <w:t>授权代理人：</w:t>
      </w:r>
      <w:r>
        <w:rPr>
          <w:rFonts w:ascii="仿宋_GB2312" w:hAnsi="仿宋_GB2312" w:eastAsia="仿宋_GB2312" w:cs="仿宋_GB2312"/>
          <w:sz w:val="28"/>
          <w:u w:val="single"/>
        </w:rPr>
        <w:t xml:space="preserve">                             </w:t>
      </w:r>
      <w:r>
        <w:rPr>
          <w:rFonts w:ascii="仿宋_GB2312" w:hAnsi="仿宋_GB2312" w:eastAsia="仿宋_GB2312" w:cs="仿宋_GB2312"/>
          <w:sz w:val="28"/>
        </w:rPr>
        <w:t>（签字）</w:t>
      </w:r>
    </w:p>
    <w:p>
      <w:pPr>
        <w:spacing w:before="156" w:line="560" w:lineRule="exact"/>
        <w:rPr>
          <w:rFonts w:ascii="仿宋_GB2312" w:hAnsi="仿宋_GB2312" w:eastAsia="仿宋_GB2312" w:cs="仿宋_GB2312"/>
          <w:sz w:val="28"/>
        </w:rPr>
      </w:pPr>
      <w:r>
        <w:rPr>
          <w:rFonts w:hint="eastAsia" w:ascii="仿宋_GB2312" w:hAnsi="仿宋_GB2312" w:eastAsia="仿宋_GB2312" w:cs="仿宋_GB2312"/>
          <w:sz w:val="28"/>
        </w:rPr>
        <w:t>身份证号码：</w:t>
      </w:r>
      <w:r>
        <w:rPr>
          <w:rFonts w:ascii="仿宋_GB2312" w:hAnsi="仿宋_GB2312" w:eastAsia="仿宋_GB2312" w:cs="仿宋_GB2312"/>
          <w:sz w:val="28"/>
          <w:u w:val="single"/>
        </w:rPr>
        <w:t xml:space="preserve">                             </w:t>
      </w:r>
    </w:p>
    <w:p>
      <w:pPr>
        <w:spacing w:before="156" w:line="560" w:lineRule="exact"/>
        <w:ind w:firstLine="5871" w:firstLineChars="2097"/>
        <w:rPr>
          <w:rFonts w:ascii="仿宋_GB2312" w:hAnsi="仿宋_GB2312" w:eastAsia="仿宋_GB2312" w:cs="仿宋_GB2312"/>
          <w:sz w:val="28"/>
        </w:rPr>
      </w:pPr>
      <w:r>
        <w:rPr>
          <w:rFonts w:hint="eastAsia" w:ascii="仿宋_GB2312" w:hAnsi="仿宋_GB2312" w:eastAsia="仿宋_GB2312" w:cs="仿宋_GB2312"/>
          <w:sz w:val="28"/>
        </w:rPr>
        <w:t>年</w:t>
      </w:r>
      <w:r>
        <w:rPr>
          <w:rFonts w:ascii="仿宋_GB2312" w:hAnsi="仿宋_GB2312" w:eastAsia="仿宋_GB2312" w:cs="仿宋_GB2312"/>
          <w:sz w:val="28"/>
        </w:rPr>
        <w:t xml:space="preserve">   </w:t>
      </w:r>
      <w:r>
        <w:rPr>
          <w:rFonts w:hint="eastAsia" w:ascii="仿宋_GB2312" w:hAnsi="仿宋_GB2312" w:eastAsia="仿宋_GB2312" w:cs="仿宋_GB2312"/>
          <w:sz w:val="28"/>
        </w:rPr>
        <w:t>月</w:t>
      </w:r>
      <w:r>
        <w:rPr>
          <w:rFonts w:ascii="仿宋_GB2312" w:hAnsi="仿宋_GB2312" w:eastAsia="仿宋_GB2312" w:cs="仿宋_GB2312"/>
          <w:sz w:val="28"/>
        </w:rPr>
        <w:t xml:space="preserve">   </w:t>
      </w:r>
      <w:r>
        <w:rPr>
          <w:rFonts w:hint="eastAsia" w:ascii="仿宋_GB2312" w:hAnsi="仿宋_GB2312" w:eastAsia="仿宋_GB2312" w:cs="仿宋_GB2312"/>
          <w:sz w:val="28"/>
        </w:rPr>
        <w:t>日</w:t>
      </w:r>
    </w:p>
    <w:p>
      <w:pPr>
        <w:spacing w:after="0" w:line="440" w:lineRule="exact"/>
        <w:rPr>
          <w:rFonts w:asciiTheme="majorEastAsia" w:hAnsiTheme="majorEastAsia" w:eastAsiaTheme="majorEastAsia"/>
        </w:rPr>
      </w:pPr>
      <w:r>
        <w:rPr>
          <w:rFonts w:hint="eastAsia" w:asciiTheme="majorEastAsia" w:hAnsiTheme="majorEastAsia" w:eastAsiaTheme="majorEastAsia"/>
        </w:rPr>
        <w:t>注：1.如果比选申请文件由授权代理人签署，则申请人须提交授权委托书，授权委托书须满足下列要求：</w:t>
      </w:r>
    </w:p>
    <w:p>
      <w:pPr>
        <w:spacing w:after="0" w:line="440" w:lineRule="exact"/>
        <w:ind w:firstLine="323" w:firstLineChars="147"/>
        <w:rPr>
          <w:rFonts w:asciiTheme="majorEastAsia" w:hAnsiTheme="majorEastAsia" w:eastAsiaTheme="majorEastAsia"/>
        </w:rPr>
      </w:pPr>
      <w:r>
        <w:rPr>
          <w:rFonts w:hint="eastAsia" w:asciiTheme="majorEastAsia" w:hAnsiTheme="majorEastAsia" w:eastAsiaTheme="majorEastAsia"/>
        </w:rPr>
        <w:t>（1）法定代表人和授权代理人必须在授权书上亲笔签名，不得使用印章、签名章或其他电子制版签名；</w:t>
      </w:r>
    </w:p>
    <w:p>
      <w:pPr>
        <w:spacing w:after="0" w:line="440" w:lineRule="exact"/>
        <w:ind w:firstLine="323" w:firstLineChars="147"/>
        <w:rPr>
          <w:rFonts w:asciiTheme="majorEastAsia" w:hAnsiTheme="majorEastAsia" w:eastAsiaTheme="majorEastAsia"/>
        </w:rPr>
      </w:pPr>
      <w:r>
        <w:rPr>
          <w:rFonts w:hint="eastAsia" w:asciiTheme="majorEastAsia" w:hAnsiTheme="majorEastAsia" w:eastAsiaTheme="majorEastAsia"/>
        </w:rPr>
        <w:t>（2）授权代理人只能是一个人，且不能再授予他人，否则将认为其授权无效；</w:t>
      </w:r>
    </w:p>
    <w:p>
      <w:pPr>
        <w:spacing w:after="0" w:line="440" w:lineRule="exact"/>
        <w:ind w:firstLine="323" w:firstLineChars="147"/>
        <w:rPr>
          <w:rFonts w:asciiTheme="majorEastAsia" w:hAnsiTheme="majorEastAsia" w:eastAsiaTheme="majorEastAsia"/>
        </w:rPr>
      </w:pPr>
      <w:r>
        <w:rPr>
          <w:rFonts w:hint="eastAsia" w:asciiTheme="majorEastAsia" w:hAnsiTheme="majorEastAsia" w:eastAsiaTheme="majorEastAsia"/>
        </w:rPr>
        <w:t>（3）授权书后须附被授权人身份证复印件（彩色或黑白），并加盖公章。</w:t>
      </w:r>
      <w:r>
        <w:rPr>
          <w:rFonts w:asciiTheme="majorEastAsia" w:hAnsiTheme="majorEastAsia" w:eastAsiaTheme="majorEastAsia"/>
        </w:rPr>
        <w:br w:type="page"/>
      </w:r>
    </w:p>
    <w:p>
      <w:pPr>
        <w:pStyle w:val="6"/>
        <w:ind w:left="0" w:firstLine="0" w:firstLineChars="0"/>
        <w:rPr>
          <w:rFonts w:asciiTheme="majorEastAsia" w:hAnsiTheme="majorEastAsia" w:eastAsiaTheme="majorEastAsia"/>
        </w:rPr>
      </w:pPr>
      <w:bookmarkStart w:id="19" w:name="_Toc96874888"/>
      <w:bookmarkStart w:id="20" w:name="_Toc498423076"/>
      <w:bookmarkStart w:id="21" w:name="_Toc96874733"/>
      <w:r>
        <w:rPr>
          <w:rFonts w:hint="eastAsia" w:asciiTheme="majorEastAsia" w:hAnsiTheme="majorEastAsia" w:eastAsiaTheme="majorEastAsia"/>
        </w:rPr>
        <w:t>四.税务师事务所介绍</w:t>
      </w:r>
      <w:bookmarkEnd w:id="19"/>
      <w:bookmarkEnd w:id="20"/>
      <w:bookmarkEnd w:id="21"/>
    </w:p>
    <w:p>
      <w:pPr>
        <w:spacing w:line="660" w:lineRule="exact"/>
        <w:jc w:val="center"/>
        <w:rPr>
          <w:rFonts w:ascii="仿宋_GB2312" w:hAnsi="仿宋_GB2312" w:eastAsia="仿宋_GB2312" w:cs="仿宋_GB2312"/>
          <w:sz w:val="32"/>
          <w:szCs w:val="32"/>
        </w:rPr>
      </w:pPr>
      <w:r>
        <w:rPr>
          <w:rFonts w:hint="eastAsia" w:ascii="仿宋_GB2312" w:hAnsi="仿宋_GB2312" w:eastAsia="仿宋_GB2312" w:cs="仿宋_GB2312"/>
          <w:b/>
          <w:bCs/>
          <w:sz w:val="32"/>
          <w:szCs w:val="32"/>
        </w:rPr>
        <w:t>税务师事务所介绍一览表</w:t>
      </w:r>
    </w:p>
    <w:p>
      <w:pPr>
        <w:spacing w:after="0" w:line="440" w:lineRule="exact"/>
        <w:rPr>
          <w:rFonts w:asciiTheme="majorEastAsia" w:hAnsiTheme="majorEastAsia" w:eastAsiaTheme="majorEastAsia"/>
          <w:b/>
        </w:rPr>
      </w:pPr>
      <w:bookmarkStart w:id="22" w:name="_Toc498423077"/>
    </w:p>
    <w:tbl>
      <w:tblPr>
        <w:tblStyle w:val="22"/>
        <w:tblW w:w="85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8"/>
        <w:gridCol w:w="1050"/>
        <w:gridCol w:w="1095"/>
        <w:gridCol w:w="1135"/>
        <w:gridCol w:w="1559"/>
        <w:gridCol w:w="727"/>
        <w:gridCol w:w="1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报价人名称</w:t>
            </w:r>
          </w:p>
        </w:tc>
        <w:tc>
          <w:tcPr>
            <w:tcW w:w="694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注册地址</w:t>
            </w:r>
          </w:p>
        </w:tc>
        <w:tc>
          <w:tcPr>
            <w:tcW w:w="3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邮政编码</w:t>
            </w:r>
          </w:p>
        </w:tc>
        <w:tc>
          <w:tcPr>
            <w:tcW w:w="21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联系方式</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联系人</w:t>
            </w:r>
          </w:p>
        </w:tc>
        <w:tc>
          <w:tcPr>
            <w:tcW w:w="22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联系电话</w:t>
            </w:r>
          </w:p>
        </w:tc>
        <w:tc>
          <w:tcPr>
            <w:tcW w:w="21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传 真</w:t>
            </w:r>
          </w:p>
        </w:tc>
        <w:tc>
          <w:tcPr>
            <w:tcW w:w="22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电子邮件</w:t>
            </w:r>
          </w:p>
        </w:tc>
        <w:tc>
          <w:tcPr>
            <w:tcW w:w="21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法定代表人</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姓名</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职称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电话</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项目负责人</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姓名</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职称</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电话</w:t>
            </w:r>
          </w:p>
        </w:tc>
        <w:tc>
          <w:tcPr>
            <w:tcW w:w="13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成立时间</w:t>
            </w:r>
          </w:p>
        </w:tc>
        <w:tc>
          <w:tcPr>
            <w:tcW w:w="21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48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信用等级</w:t>
            </w:r>
          </w:p>
        </w:tc>
        <w:tc>
          <w:tcPr>
            <w:tcW w:w="214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其中</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高级职称</w:t>
            </w:r>
          </w:p>
        </w:tc>
        <w:tc>
          <w:tcPr>
            <w:tcW w:w="21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214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中级职称</w:t>
            </w:r>
          </w:p>
        </w:tc>
        <w:tc>
          <w:tcPr>
            <w:tcW w:w="21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营业执照号</w:t>
            </w:r>
          </w:p>
        </w:tc>
        <w:tc>
          <w:tcPr>
            <w:tcW w:w="214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各类注册人员</w:t>
            </w:r>
          </w:p>
        </w:tc>
        <w:tc>
          <w:tcPr>
            <w:tcW w:w="21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注册资金</w:t>
            </w:r>
          </w:p>
        </w:tc>
        <w:tc>
          <w:tcPr>
            <w:tcW w:w="694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基本账户</w:t>
            </w:r>
          </w:p>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开户银行</w:t>
            </w:r>
          </w:p>
        </w:tc>
        <w:tc>
          <w:tcPr>
            <w:tcW w:w="694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基本账户账号</w:t>
            </w:r>
          </w:p>
        </w:tc>
        <w:tc>
          <w:tcPr>
            <w:tcW w:w="694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经营范围</w:t>
            </w:r>
          </w:p>
        </w:tc>
        <w:tc>
          <w:tcPr>
            <w:tcW w:w="694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15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备注</w:t>
            </w:r>
          </w:p>
        </w:tc>
        <w:tc>
          <w:tcPr>
            <w:tcW w:w="694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bl>
    <w:p>
      <w:pPr>
        <w:spacing w:after="0" w:line="440" w:lineRule="exact"/>
        <w:rPr>
          <w:rFonts w:asciiTheme="majorEastAsia" w:hAnsiTheme="majorEastAsia" w:eastAsiaTheme="majorEastAsia"/>
          <w:b/>
        </w:rPr>
      </w:pPr>
      <w:r>
        <w:rPr>
          <w:rFonts w:hint="eastAsia" w:ascii="仿宋" w:hAnsi="仿宋" w:eastAsia="仿宋" w:cs="Times New Roman"/>
          <w:b/>
          <w:kern w:val="2"/>
          <w:sz w:val="21"/>
          <w:szCs w:val="21"/>
          <w:lang w:bidi="ar"/>
        </w:rPr>
        <w:t>注：</w:t>
      </w:r>
      <w:r>
        <w:rPr>
          <w:rFonts w:hint="eastAsia" w:ascii="仿宋" w:hAnsi="仿宋" w:eastAsia="仿宋" w:cs="Times New Roman"/>
          <w:kern w:val="2"/>
          <w:sz w:val="21"/>
          <w:szCs w:val="21"/>
          <w:lang w:bidi="ar"/>
        </w:rPr>
        <w:t>在本表后应附报价人营业执照证书、基本账户开户许可证、税务师事务所执业</w:t>
      </w:r>
    </w:p>
    <w:p>
      <w:pPr>
        <w:spacing w:after="0" w:line="440" w:lineRule="exact"/>
        <w:rPr>
          <w:rFonts w:asciiTheme="majorEastAsia" w:hAnsiTheme="majorEastAsia" w:eastAsiaTheme="majorEastAsia"/>
          <w:b/>
        </w:rPr>
      </w:pPr>
    </w:p>
    <w:p>
      <w:pPr>
        <w:pStyle w:val="6"/>
        <w:ind w:left="0" w:firstLine="0" w:firstLineChars="0"/>
        <w:rPr>
          <w:rFonts w:asciiTheme="majorEastAsia" w:hAnsiTheme="majorEastAsia" w:eastAsiaTheme="majorEastAsia"/>
        </w:rPr>
      </w:pPr>
      <w:r>
        <w:rPr>
          <w:rFonts w:asciiTheme="majorEastAsia" w:hAnsiTheme="majorEastAsia" w:eastAsiaTheme="majorEastAsia"/>
        </w:rPr>
        <w:br w:type="page"/>
      </w:r>
    </w:p>
    <w:p>
      <w:pPr>
        <w:pStyle w:val="6"/>
        <w:ind w:left="0" w:firstLine="0" w:firstLineChars="0"/>
        <w:rPr>
          <w:rFonts w:asciiTheme="majorEastAsia" w:hAnsiTheme="majorEastAsia" w:eastAsiaTheme="majorEastAsia"/>
        </w:rPr>
      </w:pPr>
      <w:bookmarkStart w:id="23" w:name="_Toc96874910"/>
      <w:bookmarkStart w:id="24" w:name="_Toc96874755"/>
      <w:r>
        <w:rPr>
          <w:rFonts w:hint="eastAsia" w:asciiTheme="majorEastAsia" w:hAnsiTheme="majorEastAsia" w:eastAsiaTheme="majorEastAsia"/>
        </w:rPr>
        <w:t>五.拟配备顾问团队</w:t>
      </w:r>
      <w:bookmarkEnd w:id="22"/>
      <w:bookmarkEnd w:id="23"/>
      <w:bookmarkEnd w:id="24"/>
    </w:p>
    <w:p>
      <w:pPr>
        <w:spacing w:line="6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拟配备顾问团队</w:t>
      </w:r>
      <w:r>
        <w:rPr>
          <w:rFonts w:hint="eastAsia" w:ascii="仿宋_GB2312" w:hAnsi="宋体" w:eastAsia="仿宋_GB2312"/>
          <w:b/>
          <w:sz w:val="32"/>
          <w:szCs w:val="36"/>
        </w:rPr>
        <w:t>一览表</w:t>
      </w:r>
    </w:p>
    <w:tbl>
      <w:tblPr>
        <w:tblStyle w:val="22"/>
        <w:tblW w:w="80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29"/>
        <w:gridCol w:w="1747"/>
        <w:gridCol w:w="1276"/>
        <w:gridCol w:w="1322"/>
        <w:gridCol w:w="1350"/>
        <w:gridCol w:w="16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65"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序号</w:t>
            </w: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拟在本项目中任职</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姓名</w:t>
            </w: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性别</w:t>
            </w:r>
          </w:p>
        </w:tc>
        <w:tc>
          <w:tcPr>
            <w:tcW w:w="1350"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执业年限</w:t>
            </w:r>
          </w:p>
        </w:tc>
        <w:tc>
          <w:tcPr>
            <w:tcW w:w="1680"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专业领域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项目负责人</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50"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680"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50"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680"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w:t>
            </w: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5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680" w:type="dxa"/>
            <w:tcBorders>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5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68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50" w:type="dxa"/>
            <w:tcBorders>
              <w:top w:val="single" w:color="auto" w:sz="4" w:space="0"/>
              <w:bottom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68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5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680" w:type="dxa"/>
            <w:tcBorders>
              <w:top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50"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680"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0" w:hRule="atLeast"/>
        </w:trPr>
        <w:tc>
          <w:tcPr>
            <w:tcW w:w="629"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747"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276"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22" w:type="dxa"/>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350"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c>
          <w:tcPr>
            <w:tcW w:w="1680"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p>
        </w:tc>
      </w:tr>
    </w:tbl>
    <w:p>
      <w:pPr>
        <w:spacing w:after="0" w:line="440" w:lineRule="exact"/>
        <w:rPr>
          <w:rFonts w:asciiTheme="majorEastAsia" w:hAnsiTheme="majorEastAsia" w:eastAsiaTheme="majorEastAsia"/>
          <w:b/>
        </w:rPr>
      </w:pPr>
      <w:r>
        <w:rPr>
          <w:rFonts w:asciiTheme="majorEastAsia" w:hAnsiTheme="majorEastAsia" w:eastAsiaTheme="majorEastAsia"/>
          <w:b/>
        </w:rPr>
        <w:t>注：</w:t>
      </w:r>
      <w:r>
        <w:rPr>
          <w:rFonts w:hint="eastAsia" w:asciiTheme="majorEastAsia" w:hAnsiTheme="majorEastAsia" w:eastAsiaTheme="majorEastAsia"/>
        </w:rPr>
        <w:t>1</w:t>
      </w:r>
      <w:r>
        <w:rPr>
          <w:rFonts w:asciiTheme="majorEastAsia" w:hAnsiTheme="majorEastAsia" w:eastAsiaTheme="majorEastAsia"/>
        </w:rPr>
        <w:t>.</w:t>
      </w:r>
      <w:r>
        <w:rPr>
          <w:rFonts w:hint="eastAsia" w:asciiTheme="majorEastAsia" w:hAnsiTheme="majorEastAsia" w:eastAsiaTheme="majorEastAsia"/>
        </w:rPr>
        <w:t>拟配置团队人员应为比选申请人本单位人员，并与合同履行实际服务顾问团队保持一致，且未经比选人同意不得随意更换。</w:t>
      </w:r>
    </w:p>
    <w:p>
      <w:pPr>
        <w:spacing w:after="0" w:line="440" w:lineRule="exact"/>
        <w:ind w:firstLine="440" w:firstLineChars="200"/>
        <w:rPr>
          <w:rFonts w:asciiTheme="majorEastAsia" w:hAnsiTheme="majorEastAsia" w:eastAsiaTheme="majorEastAsia"/>
          <w:b/>
        </w:rPr>
      </w:pPr>
      <w:r>
        <w:rPr>
          <w:rFonts w:hint="eastAsia" w:asciiTheme="majorEastAsia" w:hAnsiTheme="majorEastAsia" w:eastAsiaTheme="majorEastAsia"/>
        </w:rPr>
        <w:t>2</w:t>
      </w:r>
      <w:r>
        <w:rPr>
          <w:rFonts w:asciiTheme="majorEastAsia" w:hAnsiTheme="majorEastAsia" w:eastAsiaTheme="majorEastAsia"/>
        </w:rPr>
        <w:t>.表后附拟配备</w:t>
      </w:r>
      <w:r>
        <w:rPr>
          <w:rFonts w:hint="eastAsia" w:asciiTheme="majorEastAsia" w:hAnsiTheme="majorEastAsia" w:eastAsiaTheme="majorEastAsia"/>
        </w:rPr>
        <w:t>顾问</w:t>
      </w:r>
      <w:r>
        <w:rPr>
          <w:rFonts w:asciiTheme="majorEastAsia" w:hAnsiTheme="majorEastAsia" w:eastAsiaTheme="majorEastAsia"/>
        </w:rPr>
        <w:t>团队人员介绍（格式自拟），介绍内容包括但不限于</w:t>
      </w:r>
      <w:r>
        <w:rPr>
          <w:rFonts w:hint="eastAsia" w:asciiTheme="majorEastAsia" w:hAnsiTheme="majorEastAsia" w:eastAsiaTheme="majorEastAsia"/>
        </w:rPr>
        <w:t>专业领域、主要业绩、获奖情况（如有）。相关证明材料应附身份证、税务师职业资格证及其他必选申请人认为与本项目相关的资料，并加盖比选申请人公章。</w:t>
      </w:r>
    </w:p>
    <w:p>
      <w:pPr>
        <w:spacing w:line="6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br w:type="page"/>
      </w:r>
    </w:p>
    <w:p>
      <w:pPr>
        <w:pStyle w:val="6"/>
        <w:ind w:left="0" w:firstLine="0" w:firstLineChars="0"/>
        <w:rPr>
          <w:rFonts w:asciiTheme="majorEastAsia" w:hAnsiTheme="majorEastAsia" w:eastAsiaTheme="majorEastAsia"/>
        </w:rPr>
      </w:pPr>
      <w:bookmarkStart w:id="25" w:name="_Toc96874911"/>
      <w:bookmarkStart w:id="26" w:name="_Toc96874756"/>
      <w:r>
        <w:rPr>
          <w:rFonts w:asciiTheme="majorEastAsia" w:hAnsiTheme="majorEastAsia" w:eastAsiaTheme="majorEastAsia"/>
        </w:rPr>
        <w:t>六</w:t>
      </w:r>
      <w:r>
        <w:rPr>
          <w:rFonts w:hint="eastAsia" w:asciiTheme="majorEastAsia" w:hAnsiTheme="majorEastAsia" w:eastAsiaTheme="majorEastAsia"/>
        </w:rPr>
        <w:t>.拟配备团队常年税务顾问业绩</w:t>
      </w:r>
      <w:bookmarkEnd w:id="25"/>
      <w:bookmarkEnd w:id="26"/>
    </w:p>
    <w:p>
      <w:pPr>
        <w:spacing w:before="156" w:beforeLines="50" w:after="156" w:afterLines="50" w:line="360" w:lineRule="auto"/>
        <w:jc w:val="center"/>
        <w:rPr>
          <w:rFonts w:ascii="仿宋_GB2312" w:hAnsi="宋体" w:eastAsia="仿宋_GB2312" w:cs="宋体"/>
          <w:b/>
          <w:bCs/>
          <w:sz w:val="3"/>
          <w:szCs w:val="3"/>
        </w:rPr>
      </w:pPr>
      <w:r>
        <w:rPr>
          <w:rFonts w:hint="eastAsia" w:ascii="仿宋_GB2312" w:hAnsi="宋体" w:eastAsia="仿宋_GB2312"/>
          <w:b/>
          <w:sz w:val="32"/>
          <w:szCs w:val="36"/>
        </w:rPr>
        <w:t>拟配备团队常年税务顾问业绩一览表</w:t>
      </w:r>
    </w:p>
    <w:tbl>
      <w:tblPr>
        <w:tblStyle w:val="22"/>
        <w:tblW w:w="8067" w:type="dxa"/>
        <w:jc w:val="center"/>
        <w:tblLayout w:type="fixed"/>
        <w:tblCellMar>
          <w:top w:w="0" w:type="dxa"/>
          <w:left w:w="57" w:type="dxa"/>
          <w:bottom w:w="0" w:type="dxa"/>
          <w:right w:w="57" w:type="dxa"/>
        </w:tblCellMar>
      </w:tblPr>
      <w:tblGrid>
        <w:gridCol w:w="546"/>
        <w:gridCol w:w="2568"/>
        <w:gridCol w:w="2126"/>
        <w:gridCol w:w="1276"/>
        <w:gridCol w:w="1551"/>
      </w:tblGrid>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序号</w:t>
            </w:r>
          </w:p>
        </w:tc>
        <w:tc>
          <w:tcPr>
            <w:tcW w:w="25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rPr>
              <w:t>项目</w:t>
            </w:r>
            <w:r>
              <w:rPr>
                <w:rFonts w:hint="eastAsia" w:ascii="仿宋_GB2312" w:hAnsi="仿宋_GB2312" w:eastAsia="仿宋_GB2312" w:cs="仿宋_GB2312"/>
                <w:sz w:val="28"/>
                <w:lang w:eastAsia="zh-CN"/>
              </w:rPr>
              <w:t>名称</w:t>
            </w:r>
          </w:p>
        </w:tc>
        <w:tc>
          <w:tcPr>
            <w:tcW w:w="212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rPr>
            </w:pPr>
            <w:r>
              <w:rPr>
                <w:rFonts w:hint="eastAsia" w:ascii="仿宋_GB2312" w:hAnsi="仿宋_GB2312" w:eastAsia="仿宋_GB2312" w:cs="仿宋_GB2312"/>
                <w:sz w:val="28"/>
                <w:lang w:eastAsia="zh-CN"/>
              </w:rPr>
              <w:t>服务对象（委托人）</w:t>
            </w:r>
          </w:p>
        </w:tc>
        <w:tc>
          <w:tcPr>
            <w:tcW w:w="127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服务对象单位类型性质</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val="0"/>
              <w:snapToGrid w:val="0"/>
              <w:spacing w:after="0" w:line="400" w:lineRule="exact"/>
              <w:jc w:val="center"/>
              <w:textAlignment w:val="auto"/>
              <w:rPr>
                <w:rFonts w:hint="eastAsia" w:ascii="仿宋_GB2312" w:hAnsi="仿宋_GB2312" w:eastAsia="仿宋_GB2312" w:cs="仿宋_GB2312"/>
                <w:sz w:val="28"/>
                <w:lang w:eastAsia="zh-CN"/>
              </w:rPr>
            </w:pPr>
            <w:r>
              <w:rPr>
                <w:rFonts w:hint="eastAsia" w:ascii="仿宋_GB2312" w:hAnsi="仿宋_GB2312" w:eastAsia="仿宋_GB2312" w:cs="仿宋_GB2312"/>
                <w:sz w:val="28"/>
                <w:lang w:eastAsia="zh-CN"/>
              </w:rPr>
              <w:t>服务期限</w:t>
            </w:r>
          </w:p>
        </w:tc>
      </w:tr>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56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r>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56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r>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56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r>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56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r>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56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r>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56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r>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56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r>
      <w:tr>
        <w:tblPrEx>
          <w:tblCellMar>
            <w:top w:w="0" w:type="dxa"/>
            <w:left w:w="57" w:type="dxa"/>
            <w:bottom w:w="0" w:type="dxa"/>
            <w:right w:w="57" w:type="dxa"/>
          </w:tblCellMar>
        </w:tblPrEx>
        <w:trPr>
          <w:trHeight w:val="20"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568"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212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276"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c>
          <w:tcPr>
            <w:tcW w:w="1551" w:type="dxa"/>
            <w:tcBorders>
              <w:top w:val="single" w:color="000000" w:sz="4" w:space="0"/>
              <w:left w:val="single" w:color="000000" w:sz="4" w:space="0"/>
              <w:bottom w:val="single" w:color="000000" w:sz="4" w:space="0"/>
              <w:right w:val="single" w:color="000000" w:sz="4" w:space="0"/>
            </w:tcBorders>
            <w:vAlign w:val="center"/>
          </w:tcPr>
          <w:p>
            <w:pPr>
              <w:spacing w:before="156" w:beforeLines="50" w:after="156" w:afterLines="50" w:line="240" w:lineRule="atLeast"/>
              <w:jc w:val="center"/>
              <w:rPr>
                <w:rFonts w:ascii="仿宋_GB2312" w:eastAsia="仿宋_GB2312"/>
                <w:kern w:val="2"/>
              </w:rPr>
            </w:pPr>
          </w:p>
        </w:tc>
      </w:tr>
    </w:tbl>
    <w:p>
      <w:pPr>
        <w:spacing w:after="0" w:line="440" w:lineRule="exact"/>
        <w:rPr>
          <w:rFonts w:asciiTheme="majorEastAsia" w:hAnsiTheme="majorEastAsia" w:eastAsiaTheme="majorEastAsia"/>
        </w:rPr>
      </w:pPr>
      <w:r>
        <w:rPr>
          <w:rFonts w:hint="eastAsia" w:asciiTheme="majorEastAsia" w:hAnsiTheme="majorEastAsia" w:eastAsiaTheme="majorEastAsia"/>
          <w:b/>
        </w:rPr>
        <w:t>注：</w:t>
      </w:r>
      <w:r>
        <w:rPr>
          <w:rFonts w:hint="eastAsia" w:asciiTheme="majorEastAsia" w:hAnsiTheme="majorEastAsia" w:eastAsiaTheme="majorEastAsia"/>
        </w:rPr>
        <w:t>1</w:t>
      </w:r>
      <w:r>
        <w:rPr>
          <w:rFonts w:asciiTheme="majorEastAsia" w:hAnsiTheme="majorEastAsia" w:eastAsiaTheme="majorEastAsia"/>
        </w:rPr>
        <w:t>.</w:t>
      </w:r>
      <w:r>
        <w:rPr>
          <w:rFonts w:hint="eastAsia" w:asciiTheme="majorEastAsia" w:hAnsiTheme="majorEastAsia" w:eastAsiaTheme="majorEastAsia"/>
        </w:rPr>
        <w:t>表后按要求附相关证明材料并加盖比选申请人公章，未附证明材料或无法体现相关要求的业绩视为无效；</w:t>
      </w:r>
    </w:p>
    <w:p>
      <w:pPr>
        <w:spacing w:after="0" w:line="440" w:lineRule="exact"/>
        <w:ind w:firstLine="440" w:firstLineChars="200"/>
        <w:rPr>
          <w:rFonts w:asciiTheme="majorEastAsia" w:hAnsiTheme="majorEastAsia" w:eastAsiaTheme="majorEastAsia"/>
        </w:rPr>
      </w:pPr>
      <w:r>
        <w:rPr>
          <w:rFonts w:hint="eastAsia" w:asciiTheme="majorEastAsia" w:hAnsiTheme="majorEastAsia" w:eastAsiaTheme="majorEastAsia"/>
        </w:rPr>
        <w:t>2.如近年来，比选申请人机构发生合法变更或重组或法人名称变更时，应根据相关部门的合法批件或其他相关证明材料来证明其所附业绩的继承性；</w:t>
      </w:r>
    </w:p>
    <w:p>
      <w:pPr>
        <w:ind w:firstLine="405"/>
        <w:rPr>
          <w:rFonts w:ascii="仿宋_GB2312" w:hAnsi="仿宋_GB2312" w:eastAsia="仿宋_GB2312" w:cs="仿宋_GB2312"/>
          <w:szCs w:val="32"/>
        </w:rPr>
      </w:pPr>
      <w:r>
        <w:rPr>
          <w:rFonts w:ascii="仿宋_GB2312" w:hAnsi="仿宋_GB2312" w:eastAsia="仿宋_GB2312" w:cs="仿宋_GB2312"/>
          <w:szCs w:val="32"/>
        </w:rPr>
        <w:br w:type="page"/>
      </w:r>
    </w:p>
    <w:p>
      <w:pPr>
        <w:ind w:firstLine="405"/>
        <w:rPr>
          <w:rFonts w:ascii="宋体" w:hAnsi="宋体" w:eastAsia="宋体"/>
        </w:rPr>
      </w:pPr>
      <w:bookmarkStart w:id="27" w:name="_Toc96874757"/>
      <w:bookmarkStart w:id="28" w:name="_Toc96874912"/>
      <w:r>
        <w:rPr>
          <w:rFonts w:asciiTheme="majorEastAsia" w:hAnsiTheme="majorEastAsia" w:eastAsiaTheme="majorEastAsia"/>
        </w:rPr>
        <w:t>七</w:t>
      </w:r>
      <w:r>
        <w:rPr>
          <w:rFonts w:hint="eastAsia" w:asciiTheme="majorEastAsia" w:hAnsiTheme="majorEastAsia" w:eastAsiaTheme="majorEastAsia"/>
        </w:rPr>
        <w:t>.</w:t>
      </w:r>
      <w:bookmarkEnd w:id="27"/>
      <w:bookmarkEnd w:id="28"/>
      <w:bookmarkStart w:id="29" w:name="_Toc96874914"/>
      <w:bookmarkStart w:id="30" w:name="_Toc96874759"/>
      <w:bookmarkStart w:id="31" w:name="_Toc498423078"/>
      <w:r>
        <w:rPr>
          <w:rFonts w:hint="eastAsia" w:ascii="宋体" w:hAnsi="宋体" w:eastAsia="宋体"/>
        </w:rPr>
        <w:t>信誉承诺函</w:t>
      </w:r>
      <w:bookmarkEnd w:id="29"/>
      <w:bookmarkEnd w:id="30"/>
    </w:p>
    <w:p>
      <w:pPr>
        <w:spacing w:before="156" w:beforeLines="50" w:after="156" w:afterLines="50" w:line="360" w:lineRule="auto"/>
        <w:jc w:val="center"/>
        <w:rPr>
          <w:rFonts w:ascii="仿宋_GB2312" w:hAnsi="宋体" w:eastAsia="仿宋_GB2312"/>
          <w:b/>
          <w:sz w:val="32"/>
          <w:szCs w:val="36"/>
        </w:rPr>
      </w:pPr>
      <w:r>
        <w:rPr>
          <w:rFonts w:hint="eastAsia" w:ascii="仿宋_GB2312" w:hAnsi="宋体" w:eastAsia="仿宋_GB2312"/>
          <w:b/>
          <w:sz w:val="32"/>
          <w:szCs w:val="36"/>
        </w:rPr>
        <w:t>信誉承诺函</w:t>
      </w:r>
    </w:p>
    <w:p>
      <w:pPr>
        <w:spacing w:after="0" w:line="560" w:lineRule="exact"/>
        <w:rPr>
          <w:rFonts w:ascii="仿宋_GB2312" w:hAnsi="仿宋_GB2312" w:eastAsia="仿宋_GB2312" w:cs="仿宋_GB2312"/>
          <w:b/>
          <w:bCs/>
          <w:sz w:val="44"/>
          <w:szCs w:val="44"/>
        </w:rPr>
      </w:pPr>
    </w:p>
    <w:p>
      <w:pPr>
        <w:spacing w:after="0"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致： </w:t>
      </w:r>
      <w:r>
        <w:rPr>
          <w:rFonts w:ascii="仿宋_GB2312" w:hAnsi="仿宋_GB2312" w:eastAsia="仿宋_GB2312" w:cs="仿宋_GB2312"/>
          <w:sz w:val="28"/>
          <w:szCs w:val="28"/>
        </w:rPr>
        <w:t xml:space="preserve">                </w:t>
      </w:r>
    </w:p>
    <w:p>
      <w:pPr>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近三年以来，未受过行政处罚、行业惩戒或有效投诉，不存在下列情形之一：弄虚作假、恶意串通、营私舞弊等严重不诚信行为的；分别接受利益相对方委托，就同一事项提供有利益冲突的中介服务的；出具虚假或重大失实的业务报告的；违反中介服务合同约定给委托方造成重大损失的。</w:t>
      </w:r>
    </w:p>
    <w:p>
      <w:pPr>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after="0" w:line="560" w:lineRule="exact"/>
        <w:ind w:left="1200" w:firstLine="480"/>
        <w:rPr>
          <w:rFonts w:ascii="仿宋_GB2312" w:hAnsi="仿宋_GB2312" w:eastAsia="仿宋_GB2312" w:cs="仿宋_GB2312"/>
          <w:sz w:val="28"/>
          <w:szCs w:val="28"/>
        </w:rPr>
      </w:pPr>
    </w:p>
    <w:p>
      <w:pPr>
        <w:spacing w:after="0" w:line="560" w:lineRule="exact"/>
        <w:ind w:left="1200" w:firstLine="480"/>
        <w:rPr>
          <w:rFonts w:ascii="仿宋_GB2312" w:hAnsi="仿宋_GB2312" w:eastAsia="仿宋_GB2312" w:cs="仿宋_GB2312"/>
          <w:sz w:val="28"/>
          <w:szCs w:val="28"/>
        </w:rPr>
      </w:pPr>
    </w:p>
    <w:p>
      <w:pPr>
        <w:spacing w:after="0" w:line="560" w:lineRule="exact"/>
        <w:ind w:left="1200" w:firstLine="480"/>
        <w:rPr>
          <w:rFonts w:ascii="仿宋_GB2312" w:hAnsi="仿宋_GB2312" w:eastAsia="仿宋_GB2312" w:cs="仿宋_GB2312"/>
          <w:sz w:val="28"/>
          <w:szCs w:val="28"/>
        </w:rPr>
      </w:pPr>
    </w:p>
    <w:p>
      <w:pPr>
        <w:spacing w:line="560" w:lineRule="exact"/>
        <w:ind w:right="640" w:firstLine="980" w:firstLineChars="350"/>
        <w:rPr>
          <w:rFonts w:ascii="仿宋_GB2312" w:hAnsi="仿宋_GB2312" w:eastAsia="仿宋_GB2312" w:cs="仿宋_GB2312"/>
          <w:sz w:val="28"/>
          <w:szCs w:val="28"/>
        </w:rPr>
      </w:pPr>
      <w:r>
        <w:rPr>
          <w:rFonts w:hint="eastAsia" w:ascii="仿宋_GB2312" w:hAnsi="仿宋_GB2312" w:eastAsia="仿宋_GB2312" w:cs="仿宋_GB2312"/>
          <w:sz w:val="28"/>
          <w:szCs w:val="28"/>
        </w:rPr>
        <w:t>比选申请人：</w:t>
      </w:r>
      <w:r>
        <w:rPr>
          <w:rFonts w:ascii="仿宋_GB2312" w:hAnsi="仿宋_GB2312" w:eastAsia="仿宋_GB2312" w:cs="仿宋_GB2312"/>
          <w:sz w:val="28"/>
          <w:szCs w:val="28"/>
        </w:rPr>
        <w:t xml:space="preserve">                （单位盖章）   </w:t>
      </w:r>
    </w:p>
    <w:p>
      <w:pPr>
        <w:spacing w:line="560" w:lineRule="exact"/>
        <w:ind w:firstLine="980" w:firstLineChars="350"/>
        <w:rPr>
          <w:rFonts w:ascii="仿宋_GB2312" w:hAnsi="仿宋_GB2312" w:eastAsia="仿宋_GB2312" w:cs="仿宋_GB2312"/>
          <w:sz w:val="28"/>
          <w:szCs w:val="28"/>
        </w:rPr>
      </w:pPr>
      <w:r>
        <w:rPr>
          <w:rFonts w:hint="eastAsia" w:ascii="仿宋_GB2312" w:hAnsi="仿宋_GB2312" w:eastAsia="仿宋_GB2312" w:cs="仿宋_GB2312"/>
          <w:sz w:val="28"/>
        </w:rPr>
        <w:t>法定代表人（负责人）</w:t>
      </w:r>
      <w:r>
        <w:rPr>
          <w:rFonts w:hint="eastAsia" w:ascii="仿宋_GB2312" w:hAnsi="仿宋_GB2312" w:eastAsia="仿宋_GB2312" w:cs="仿宋_GB2312"/>
          <w:sz w:val="28"/>
          <w:szCs w:val="28"/>
        </w:rPr>
        <w:t>或授权代理人：</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（签字）</w:t>
      </w:r>
    </w:p>
    <w:p>
      <w:pPr>
        <w:spacing w:after="0" w:line="560" w:lineRule="exact"/>
        <w:rPr>
          <w:rFonts w:ascii="仿宋_GB2312" w:hAnsi="仿宋_GB2312" w:eastAsia="仿宋_GB2312" w:cs="仿宋_GB2312"/>
          <w:sz w:val="28"/>
          <w:szCs w:val="28"/>
        </w:rPr>
      </w:pPr>
    </w:p>
    <w:p>
      <w:pPr>
        <w:spacing w:after="0" w:line="560" w:lineRule="exact"/>
        <w:rPr>
          <w:rFonts w:ascii="仿宋_GB2312" w:hAnsi="仿宋_GB2312" w:eastAsia="仿宋_GB2312" w:cs="仿宋_GB2312"/>
          <w:sz w:val="28"/>
          <w:szCs w:val="28"/>
        </w:rPr>
      </w:pPr>
    </w:p>
    <w:p>
      <w:pPr>
        <w:spacing w:after="0" w:line="560" w:lineRule="exact"/>
        <w:ind w:firstLine="5320" w:firstLineChars="1900"/>
        <w:rPr>
          <w:rFonts w:ascii="仿宋_GB2312" w:hAnsi="仿宋_GB2312" w:eastAsia="仿宋_GB2312" w:cs="仿宋_GB2312"/>
          <w:sz w:val="28"/>
          <w:szCs w:val="28"/>
        </w:rPr>
      </w:pPr>
      <w:r>
        <w:rPr>
          <w:rFonts w:hint="eastAsia" w:ascii="仿宋_GB2312" w:hAnsi="仿宋_GB2312" w:eastAsia="仿宋_GB2312" w:cs="仿宋_GB2312"/>
          <w:sz w:val="28"/>
          <w:szCs w:val="28"/>
        </w:rPr>
        <w:t>年</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月</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日</w:t>
      </w:r>
    </w:p>
    <w:p>
      <w:pPr>
        <w:rPr>
          <w:rFonts w:asciiTheme="majorEastAsia" w:hAnsiTheme="majorEastAsia" w:eastAsiaTheme="majorEastAsia"/>
          <w:sz w:val="32"/>
        </w:rPr>
      </w:pPr>
      <w:r>
        <w:rPr>
          <w:rFonts w:asciiTheme="majorEastAsia" w:hAnsiTheme="majorEastAsia" w:eastAsiaTheme="majorEastAsia"/>
          <w:sz w:val="32"/>
        </w:rPr>
        <w:br w:type="page"/>
      </w:r>
    </w:p>
    <w:bookmarkEnd w:id="31"/>
    <w:p>
      <w:pPr>
        <w:ind w:firstLine="5320" w:firstLineChars="1900"/>
        <w:rPr>
          <w:rFonts w:ascii="仿宋_GB2312" w:hAnsi="仿宋_GB2312" w:eastAsia="仿宋_GB2312" w:cs="仿宋_GB2312"/>
          <w:sz w:val="28"/>
          <w:szCs w:val="28"/>
        </w:rPr>
      </w:pPr>
    </w:p>
    <w:p>
      <w:pPr>
        <w:outlineLvl w:val="1"/>
        <w:rPr>
          <w:rFonts w:ascii="宋体" w:hAnsi="宋体" w:eastAsia="宋体" w:cs="仿宋_GB2312"/>
          <w:szCs w:val="32"/>
        </w:rPr>
      </w:pPr>
      <w:bookmarkStart w:id="32" w:name="_Toc96874916"/>
      <w:bookmarkStart w:id="33" w:name="_Toc96874761"/>
      <w:r>
        <w:rPr>
          <w:rFonts w:hint="eastAsia" w:ascii="宋体" w:hAnsi="宋体" w:eastAsia="宋体" w:cs="仿宋_GB2312"/>
          <w:szCs w:val="32"/>
        </w:rPr>
        <w:t>八</w:t>
      </w:r>
      <w:r>
        <w:rPr>
          <w:rFonts w:ascii="宋体" w:hAnsi="宋体" w:eastAsia="宋体" w:cs="仿宋_GB2312"/>
          <w:szCs w:val="32"/>
        </w:rPr>
        <w:t>.</w:t>
      </w:r>
      <w:r>
        <w:rPr>
          <w:rFonts w:hint="eastAsia" w:ascii="宋体" w:hAnsi="宋体" w:eastAsia="宋体" w:cs="仿宋_GB2312"/>
          <w:szCs w:val="32"/>
        </w:rPr>
        <w:t>服务方案</w:t>
      </w:r>
      <w:bookmarkEnd w:id="32"/>
      <w:bookmarkEnd w:id="33"/>
    </w:p>
    <w:p>
      <w:pPr>
        <w:spacing w:line="660" w:lineRule="exact"/>
        <w:jc w:val="center"/>
        <w:rPr>
          <w:rFonts w:ascii="仿宋_GB2312" w:hAnsi="仿宋_GB2312" w:eastAsia="仿宋_GB2312" w:cs="仿宋_GB2312"/>
          <w:b/>
          <w:bCs/>
          <w:sz w:val="32"/>
          <w:szCs w:val="32"/>
        </w:rPr>
      </w:pPr>
      <w:r>
        <w:rPr>
          <w:rFonts w:ascii="仿宋_GB2312" w:hAnsi="仿宋_GB2312" w:eastAsia="仿宋_GB2312" w:cs="仿宋_GB2312"/>
          <w:b/>
          <w:bCs/>
          <w:sz w:val="32"/>
          <w:szCs w:val="32"/>
        </w:rPr>
        <w:t>服务方案</w:t>
      </w:r>
    </w:p>
    <w:p>
      <w:pPr>
        <w:spacing w:after="0" w:line="56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（格式自拟）</w:t>
      </w:r>
    </w:p>
    <w:p>
      <w:pPr>
        <w:outlineLvl w:val="1"/>
        <w:rPr>
          <w:rFonts w:ascii="宋体" w:hAnsi="宋体" w:eastAsia="宋体" w:cs="仿宋_GB2312"/>
          <w:szCs w:val="32"/>
        </w:rPr>
      </w:pPr>
      <w:r>
        <w:rPr>
          <w:rFonts w:ascii="方正小标宋简体" w:hAnsi="方正小标宋简体" w:eastAsia="方正小标宋简体" w:cs="方正小标宋简体"/>
          <w:sz w:val="32"/>
          <w:szCs w:val="32"/>
        </w:rPr>
        <w:br w:type="page"/>
      </w:r>
      <w:bookmarkStart w:id="34" w:name="_Toc96874917"/>
      <w:bookmarkStart w:id="35" w:name="_Toc96874762"/>
      <w:r>
        <w:rPr>
          <w:rFonts w:hint="eastAsia" w:ascii="宋体" w:hAnsi="宋体" w:eastAsia="宋体" w:cs="仿宋_GB2312"/>
          <w:szCs w:val="32"/>
        </w:rPr>
        <w:t>九</w:t>
      </w:r>
      <w:r>
        <w:rPr>
          <w:rFonts w:ascii="宋体" w:hAnsi="宋体" w:eastAsia="宋体" w:cs="仿宋_GB2312"/>
          <w:szCs w:val="32"/>
        </w:rPr>
        <w:t>.</w:t>
      </w:r>
      <w:r>
        <w:rPr>
          <w:rFonts w:hint="eastAsia" w:ascii="宋体" w:hAnsi="宋体" w:eastAsia="宋体" w:cs="仿宋_GB2312"/>
          <w:szCs w:val="32"/>
        </w:rPr>
        <w:t>其他资料（如有）</w:t>
      </w:r>
      <w:bookmarkEnd w:id="34"/>
      <w:bookmarkEnd w:id="35"/>
    </w:p>
    <w:p>
      <w:pPr>
        <w:spacing w:after="0" w:line="56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注：比选申请人认为需要提供的其他材料（如无，可删除此章节内容）。</w:t>
      </w:r>
      <w:r>
        <w:rPr>
          <w:rFonts w:ascii="方正小标宋简体" w:hAnsi="方正小标宋简体" w:eastAsia="方正小标宋简体" w:cs="方正小标宋简体"/>
          <w:sz w:val="32"/>
          <w:szCs w:val="32"/>
        </w:rPr>
        <w:br w:type="page"/>
      </w:r>
    </w:p>
    <w:p>
      <w:pPr>
        <w:pStyle w:val="29"/>
        <w:spacing w:line="560" w:lineRule="exact"/>
        <w:rPr>
          <w:rFonts w:ascii="仿宋_GB2312" w:eastAsia="仿宋_GB2312"/>
          <w:color w:val="auto"/>
          <w:sz w:val="28"/>
          <w:szCs w:val="28"/>
        </w:rPr>
      </w:pPr>
      <w:r>
        <w:rPr>
          <w:rFonts w:hint="eastAsia" w:ascii="方正小标宋简体" w:hAnsi="方正小标宋简体" w:eastAsia="方正小标宋简体" w:cs="方正小标宋简体"/>
          <w:color w:val="auto"/>
          <w:sz w:val="32"/>
          <w:szCs w:val="32"/>
        </w:rPr>
        <w:t>（注：本表最终报价在谈判结束后现场填报，申请人可提前加盖公章）</w:t>
      </w:r>
    </w:p>
    <w:p>
      <w:pPr>
        <w:pStyle w:val="29"/>
      </w:pPr>
    </w:p>
    <w:p>
      <w:pPr>
        <w:spacing w:line="66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最终报价表</w:t>
      </w:r>
    </w:p>
    <w:p>
      <w:pPr>
        <w:spacing w:before="156" w:beforeLines="50"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致：四川蜀道铁路运营管理集团有限责任公司</w:t>
      </w:r>
    </w:p>
    <w:p>
      <w:pPr>
        <w:spacing w:line="560" w:lineRule="exact"/>
        <w:ind w:firstLine="630" w:firstLineChars="225"/>
        <w:rPr>
          <w:rFonts w:ascii="仿宋_GB2312" w:hAnsi="仿宋_GB2312" w:eastAsia="仿宋_GB2312" w:cs="仿宋_GB2312"/>
          <w:sz w:val="28"/>
          <w:szCs w:val="28"/>
        </w:rPr>
      </w:pPr>
      <w:r>
        <w:rPr>
          <w:rFonts w:hint="eastAsia" w:ascii="仿宋_GB2312" w:hAnsi="仿宋_GB2312" w:eastAsia="仿宋_GB2312" w:cs="仿宋_GB2312"/>
          <w:sz w:val="28"/>
          <w:szCs w:val="28"/>
        </w:rPr>
        <w:t>我所经过仔细研究，在充分理解和响应比选文件的基础上，我方对贵公司常年税务顾问服务的最终报价如下：</w:t>
      </w:r>
    </w:p>
    <w:tbl>
      <w:tblPr>
        <w:tblStyle w:val="23"/>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948" w:type="dxa"/>
            <w:vAlign w:val="center"/>
          </w:tcPr>
          <w:p>
            <w:pPr>
              <w:widowControl w:val="0"/>
              <w:spacing w:line="560" w:lineRule="exact"/>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申请人名称</w:t>
            </w:r>
          </w:p>
        </w:tc>
        <w:tc>
          <w:tcPr>
            <w:tcW w:w="5670" w:type="dxa"/>
            <w:vAlign w:val="center"/>
          </w:tcPr>
          <w:p>
            <w:pPr>
              <w:widowControl w:val="0"/>
              <w:spacing w:line="560" w:lineRule="exact"/>
              <w:ind w:firstLine="140" w:firstLineChars="50"/>
              <w:jc w:val="center"/>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常年税务顾问服务费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jc w:val="center"/>
        </w:trPr>
        <w:tc>
          <w:tcPr>
            <w:tcW w:w="2948" w:type="dxa"/>
            <w:vAlign w:val="center"/>
          </w:tcPr>
          <w:p>
            <w:pPr>
              <w:widowControl w:val="0"/>
              <w:spacing w:line="560" w:lineRule="exact"/>
              <w:jc w:val="center"/>
              <w:rPr>
                <w:rFonts w:ascii="仿宋_GB2312" w:hAnsi="仿宋_GB2312" w:eastAsia="仿宋_GB2312" w:cs="仿宋_GB2312"/>
                <w:kern w:val="2"/>
                <w:sz w:val="28"/>
                <w:szCs w:val="28"/>
              </w:rPr>
            </w:pPr>
          </w:p>
        </w:tc>
        <w:tc>
          <w:tcPr>
            <w:tcW w:w="5670" w:type="dxa"/>
            <w:vAlign w:val="center"/>
          </w:tcPr>
          <w:p>
            <w:pPr>
              <w:widowControl w:val="0"/>
              <w:spacing w:line="560" w:lineRule="exact"/>
              <w:ind w:firstLine="280" w:firstLineChars="100"/>
              <w:jc w:val="both"/>
              <w:rPr>
                <w:rFonts w:ascii="仿宋_GB2312" w:hAnsi="仿宋_GB2312" w:eastAsia="仿宋_GB2312" w:cs="仿宋_GB2312"/>
                <w:kern w:val="2"/>
                <w:sz w:val="28"/>
                <w:szCs w:val="28"/>
              </w:rPr>
            </w:pPr>
            <w:r>
              <w:rPr>
                <w:rFonts w:hint="eastAsia" w:ascii="仿宋_GB2312" w:hAnsi="仿宋_GB2312" w:eastAsia="仿宋_GB2312" w:cs="仿宋_GB2312"/>
                <w:kern w:val="2"/>
                <w:sz w:val="28"/>
                <w:szCs w:val="28"/>
                <w:lang w:val="en-US" w:eastAsia="zh-CN"/>
              </w:rPr>
              <w:t>含税</w:t>
            </w:r>
            <w:r>
              <w:rPr>
                <w:rFonts w:hint="eastAsia" w:ascii="仿宋_GB2312" w:hAnsi="仿宋_GB2312" w:eastAsia="仿宋_GB2312" w:cs="仿宋_GB2312"/>
                <w:kern w:val="2"/>
                <w:sz w:val="28"/>
                <w:szCs w:val="28"/>
              </w:rPr>
              <w:t>金额（小写）：</w:t>
            </w:r>
            <w:r>
              <w:rPr>
                <w:rFonts w:hint="eastAsia" w:ascii="仿宋_GB2312" w:hAnsi="仿宋_GB2312" w:eastAsia="仿宋_GB2312" w:cs="仿宋_GB2312"/>
                <w:kern w:val="2"/>
                <w:sz w:val="28"/>
                <w:szCs w:val="28"/>
                <w:u w:val="single"/>
              </w:rPr>
              <w:t xml:space="preserve">         </w:t>
            </w:r>
            <w:r>
              <w:rPr>
                <w:rFonts w:ascii="仿宋_GB2312" w:hAnsi="仿宋_GB2312" w:eastAsia="仿宋_GB2312" w:cs="仿宋_GB2312"/>
                <w:kern w:val="2"/>
                <w:sz w:val="28"/>
                <w:szCs w:val="28"/>
                <w:u w:val="single"/>
              </w:rPr>
              <w:t>元</w:t>
            </w:r>
            <w:r>
              <w:rPr>
                <w:rFonts w:hint="eastAsia" w:ascii="仿宋_GB2312" w:hAnsi="仿宋_GB2312" w:eastAsia="仿宋_GB2312" w:cs="仿宋_GB2312"/>
                <w:kern w:val="2"/>
                <w:sz w:val="28"/>
                <w:szCs w:val="28"/>
                <w:u w:val="single"/>
                <w:lang w:eastAsia="zh-CN"/>
              </w:rPr>
              <w:t>（</w:t>
            </w:r>
            <w:r>
              <w:rPr>
                <w:rFonts w:hint="eastAsia" w:ascii="仿宋_GB2312" w:hAnsi="仿宋_GB2312" w:eastAsia="仿宋_GB2312" w:cs="仿宋_GB2312"/>
                <w:kern w:val="2"/>
                <w:sz w:val="28"/>
                <w:szCs w:val="28"/>
                <w:u w:val="single"/>
                <w:lang w:val="en-US" w:eastAsia="zh-CN"/>
              </w:rPr>
              <w:t>税率  %</w:t>
            </w:r>
            <w:r>
              <w:rPr>
                <w:rFonts w:hint="eastAsia" w:ascii="仿宋_GB2312" w:hAnsi="仿宋_GB2312" w:eastAsia="仿宋_GB2312" w:cs="仿宋_GB2312"/>
                <w:kern w:val="2"/>
                <w:sz w:val="28"/>
                <w:szCs w:val="28"/>
                <w:u w:val="single"/>
                <w:lang w:eastAsia="zh-CN"/>
              </w:rPr>
              <w:t>）</w:t>
            </w:r>
          </w:p>
          <w:p>
            <w:pPr>
              <w:widowControl w:val="0"/>
              <w:spacing w:line="560" w:lineRule="exact"/>
              <w:ind w:firstLine="280" w:firstLineChars="100"/>
              <w:jc w:val="left"/>
              <w:rPr>
                <w:rFonts w:ascii="仿宋_GB2312" w:hAnsi="仿宋_GB2312" w:eastAsia="仿宋_GB2312" w:cs="仿宋_GB2312"/>
                <w:kern w:val="2"/>
                <w:sz w:val="28"/>
                <w:szCs w:val="28"/>
              </w:rPr>
            </w:pPr>
            <w:r>
              <w:rPr>
                <w:rFonts w:ascii="仿宋_GB2312" w:hAnsi="仿宋_GB2312" w:eastAsia="仿宋_GB2312" w:cs="仿宋_GB2312"/>
                <w:kern w:val="2"/>
                <w:sz w:val="28"/>
                <w:szCs w:val="28"/>
              </w:rPr>
              <w:t>(大写：</w:t>
            </w:r>
            <w:r>
              <w:rPr>
                <w:rFonts w:hint="eastAsia" w:ascii="仿宋_GB2312" w:hAnsi="仿宋_GB2312" w:eastAsia="仿宋_GB2312" w:cs="仿宋_GB2312"/>
                <w:kern w:val="2"/>
                <w:sz w:val="28"/>
                <w:szCs w:val="28"/>
              </w:rPr>
              <w:t>人民币</w:t>
            </w:r>
            <w:r>
              <w:rPr>
                <w:rFonts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u w:val="single"/>
              </w:rPr>
              <w:t xml:space="preserve">        </w:t>
            </w:r>
            <w:r>
              <w:rPr>
                <w:rFonts w:ascii="仿宋_GB2312" w:hAnsi="仿宋_GB2312" w:eastAsia="仿宋_GB2312" w:cs="仿宋_GB2312"/>
                <w:kern w:val="2"/>
                <w:sz w:val="28"/>
                <w:szCs w:val="28"/>
                <w:u w:val="single"/>
              </w:rPr>
              <w:t xml:space="preserve">        </w:t>
            </w:r>
            <w:r>
              <w:rPr>
                <w:rFonts w:hint="eastAsia" w:ascii="仿宋_GB2312" w:hAnsi="仿宋_GB2312" w:eastAsia="仿宋_GB2312" w:cs="仿宋_GB2312"/>
                <w:kern w:val="2"/>
                <w:sz w:val="28"/>
                <w:szCs w:val="28"/>
              </w:rPr>
              <w:t>）</w:t>
            </w:r>
          </w:p>
        </w:tc>
      </w:tr>
    </w:tbl>
    <w:p>
      <w:pPr>
        <w:spacing w:after="0" w:line="440" w:lineRule="exact"/>
        <w:jc w:val="both"/>
        <w:rPr>
          <w:rFonts w:asciiTheme="majorEastAsia" w:hAnsiTheme="majorEastAsia" w:eastAsiaTheme="majorEastAsia"/>
        </w:rPr>
      </w:pPr>
      <w:r>
        <w:rPr>
          <w:rFonts w:hint="eastAsia" w:asciiTheme="majorEastAsia" w:hAnsiTheme="majorEastAsia" w:eastAsiaTheme="majorEastAsia"/>
          <w:b/>
        </w:rPr>
        <w:t>注：</w:t>
      </w:r>
      <w:r>
        <w:rPr>
          <w:rFonts w:hint="eastAsia" w:asciiTheme="majorEastAsia" w:hAnsiTheme="majorEastAsia" w:eastAsiaTheme="majorEastAsia"/>
        </w:rPr>
        <w:t>1、最终报价包括比选申请人完成本项目所需的一切费用。</w:t>
      </w:r>
    </w:p>
    <w:p>
      <w:pPr>
        <w:spacing w:after="0" w:line="440" w:lineRule="exact"/>
        <w:ind w:firstLine="440" w:firstLineChars="200"/>
        <w:jc w:val="both"/>
        <w:rPr>
          <w:rFonts w:asciiTheme="majorEastAsia" w:hAnsiTheme="majorEastAsia" w:eastAsiaTheme="majorEastAsia"/>
        </w:rPr>
      </w:pPr>
      <w:r>
        <w:rPr>
          <w:rFonts w:hint="eastAsia" w:asciiTheme="majorEastAsia" w:hAnsiTheme="majorEastAsia" w:eastAsiaTheme="majorEastAsia"/>
        </w:rPr>
        <w:t>2、本表在谈判结束后由比选申请人的律所负责人或委托代理人手工填写最终报价。</w:t>
      </w:r>
    </w:p>
    <w:p>
      <w:pPr>
        <w:spacing w:after="0" w:line="440" w:lineRule="exact"/>
        <w:ind w:firstLine="440" w:firstLineChars="200"/>
        <w:jc w:val="both"/>
        <w:rPr>
          <w:rFonts w:asciiTheme="majorEastAsia" w:hAnsiTheme="majorEastAsia" w:eastAsiaTheme="majorEastAsia"/>
        </w:rPr>
      </w:pPr>
      <w:r>
        <w:rPr>
          <w:rFonts w:hint="eastAsia" w:asciiTheme="majorEastAsia" w:hAnsiTheme="majorEastAsia" w:eastAsiaTheme="majorEastAsia"/>
        </w:rPr>
        <w:t>3、最终报价超过本项目预算的，作无效响应处理；</w:t>
      </w:r>
    </w:p>
    <w:p>
      <w:pPr>
        <w:spacing w:after="0" w:line="440" w:lineRule="exact"/>
        <w:ind w:firstLine="440" w:firstLineChars="200"/>
        <w:jc w:val="both"/>
        <w:rPr>
          <w:rFonts w:asciiTheme="majorEastAsia" w:hAnsiTheme="majorEastAsia" w:eastAsiaTheme="majorEastAsia"/>
        </w:rPr>
      </w:pPr>
      <w:r>
        <w:rPr>
          <w:rFonts w:hint="eastAsia" w:asciiTheme="majorEastAsia" w:hAnsiTheme="majorEastAsia" w:eastAsiaTheme="majorEastAsia"/>
        </w:rPr>
        <w:t>4、最终报价用于报价评分,并作为与各公司签订合同的费用依据。</w:t>
      </w:r>
    </w:p>
    <w:p>
      <w:pPr>
        <w:pStyle w:val="4"/>
      </w:pPr>
    </w:p>
    <w:p>
      <w:pPr>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比选申请人：</w:t>
      </w:r>
      <w:r>
        <w:rPr>
          <w:rFonts w:ascii="仿宋_GB2312" w:hAnsi="仿宋_GB2312" w:eastAsia="仿宋_GB2312" w:cs="仿宋_GB2312"/>
          <w:sz w:val="28"/>
          <w:szCs w:val="28"/>
        </w:rPr>
        <w:t xml:space="preserve">                （单位盖章）</w:t>
      </w:r>
    </w:p>
    <w:p>
      <w:pPr>
        <w:spacing w:after="0"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法定代表人（负责人）或授权代理人：</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（签字）</w:t>
      </w:r>
    </w:p>
    <w:p>
      <w:pPr>
        <w:spacing w:after="0" w:line="440" w:lineRule="exact"/>
        <w:ind w:firstLine="640" w:firstLineChars="200"/>
        <w:rPr>
          <w:rFonts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br w:type="page"/>
      </w:r>
    </w:p>
    <w:p>
      <w:pPr>
        <w:spacing w:after="0" w:line="560" w:lineRule="exact"/>
        <w:ind w:firstLine="880" w:firstLineChars="200"/>
        <w:jc w:val="center"/>
        <w:rPr>
          <w:rFonts w:hint="eastAsia" w:ascii="方正小标宋简体" w:hAnsi="方正小标宋简体" w:eastAsia="方正小标宋简体" w:cs="方正小标宋简体"/>
          <w:bCs/>
          <w:kern w:val="44"/>
          <w:sz w:val="44"/>
          <w:szCs w:val="44"/>
        </w:rPr>
      </w:pPr>
      <w:bookmarkStart w:id="36" w:name="_Toc96874918"/>
      <w:r>
        <w:rPr>
          <w:rFonts w:hint="eastAsia" w:ascii="方正小标宋简体" w:hAnsi="方正小标宋简体" w:eastAsia="方正小标宋简体" w:cs="方正小标宋简体"/>
          <w:bCs/>
          <w:kern w:val="44"/>
          <w:sz w:val="44"/>
          <w:szCs w:val="44"/>
        </w:rPr>
        <w:t>第五章  评审办法</w:t>
      </w:r>
      <w:bookmarkEnd w:id="36"/>
    </w:p>
    <w:p>
      <w:pPr>
        <w:numPr>
          <w:ilvl w:val="0"/>
          <w:numId w:val="5"/>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评审委员会的确定</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评审委员会由比选人按相关规定选取，评审委员会人数为5人。</w:t>
      </w:r>
    </w:p>
    <w:p>
      <w:pPr>
        <w:numPr>
          <w:ilvl w:val="0"/>
          <w:numId w:val="5"/>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评审程序</w:t>
      </w:r>
    </w:p>
    <w:p>
      <w:pPr>
        <w:spacing w:after="0" w:line="560" w:lineRule="exact"/>
        <w:ind w:firstLine="640" w:firstLineChars="200"/>
        <w:jc w:val="both"/>
        <w:rPr>
          <w:rFonts w:ascii="仿宋_GB2312" w:hAnsi="仿宋_GB2312" w:eastAsia="仿宋_GB2312" w:cs="仿宋_GB2312"/>
          <w:sz w:val="28"/>
          <w:szCs w:val="28"/>
        </w:rPr>
      </w:pP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rPr>
        <w:t>评审程序</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资格审查→初步评审→谈判→详细评审评分→编写评审报告。</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rPr>
        <w:t>资格审查</w:t>
      </w:r>
    </w:p>
    <w:p>
      <w:pPr>
        <w:spacing w:after="0" w:line="56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评审委员会将对比选申请文件的下列内容进行审查和复核。</w:t>
      </w:r>
    </w:p>
    <w:p>
      <w:pPr>
        <w:pStyle w:val="3"/>
        <w:widowControl w:val="0"/>
        <w:tabs>
          <w:tab w:val="left" w:pos="600"/>
        </w:tabs>
        <w:adjustRightInd/>
        <w:snapToGrid/>
        <w:spacing w:after="0" w:line="600" w:lineRule="exact"/>
        <w:ind w:left="0" w:leftChars="0"/>
        <w:jc w:val="center"/>
        <w:rPr>
          <w:rFonts w:ascii="仿宋_GB2312" w:hAnsi="宋体" w:eastAsia="仿宋_GB2312" w:cs="宋体"/>
          <w:b/>
          <w:bCs/>
          <w:color w:val="000000"/>
          <w:kern w:val="2"/>
          <w:sz w:val="28"/>
          <w:szCs w:val="20"/>
        </w:rPr>
      </w:pPr>
      <w:r>
        <w:rPr>
          <w:rFonts w:hint="eastAsia" w:ascii="仿宋_GB2312" w:hAnsi="宋体" w:eastAsia="仿宋_GB2312" w:cs="宋体"/>
          <w:b/>
          <w:bCs/>
          <w:color w:val="000000"/>
          <w:kern w:val="2"/>
          <w:sz w:val="28"/>
          <w:szCs w:val="20"/>
        </w:rPr>
        <w:t>比选申请文件资格审查表</w:t>
      </w:r>
    </w:p>
    <w:tbl>
      <w:tblPr>
        <w:tblStyle w:val="22"/>
        <w:tblW w:w="7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3550"/>
        <w:gridCol w:w="3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序号</w:t>
            </w:r>
          </w:p>
        </w:tc>
        <w:tc>
          <w:tcPr>
            <w:tcW w:w="3550"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审查内容</w:t>
            </w:r>
          </w:p>
        </w:tc>
        <w:tc>
          <w:tcPr>
            <w:tcW w:w="3512"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spacing w:after="0" w:line="400" w:lineRule="exact"/>
              <w:jc w:val="center"/>
              <w:rPr>
                <w:rFonts w:cs="宋体" w:asciiTheme="minorEastAsia" w:hAnsiTheme="minorEastAsia" w:eastAsiaTheme="minorEastAsia"/>
                <w:kern w:val="2"/>
                <w:sz w:val="24"/>
              </w:rPr>
            </w:pPr>
            <w:r>
              <w:rPr>
                <w:rFonts w:cs="宋体" w:asciiTheme="minorEastAsia" w:hAnsiTheme="minorEastAsia" w:eastAsiaTheme="minorEastAsia"/>
                <w:kern w:val="2"/>
                <w:sz w:val="24"/>
              </w:rPr>
              <w:t>1</w:t>
            </w:r>
          </w:p>
        </w:tc>
        <w:tc>
          <w:tcPr>
            <w:tcW w:w="3550"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税务师事务所要求</w:t>
            </w:r>
          </w:p>
        </w:tc>
        <w:tc>
          <w:tcPr>
            <w:tcW w:w="351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spacing w:after="0" w:line="400" w:lineRule="exact"/>
              <w:jc w:val="center"/>
              <w:rPr>
                <w:rFonts w:cs="宋体" w:asciiTheme="minorEastAsia" w:hAnsiTheme="minorEastAsia" w:eastAsiaTheme="minorEastAsia"/>
                <w:kern w:val="2"/>
                <w:sz w:val="24"/>
              </w:rPr>
            </w:pPr>
            <w:r>
              <w:rPr>
                <w:rFonts w:cs="宋体" w:asciiTheme="minorEastAsia" w:hAnsiTheme="minorEastAsia" w:eastAsiaTheme="minorEastAsia"/>
                <w:kern w:val="2"/>
                <w:sz w:val="24"/>
              </w:rPr>
              <w:t>2</w:t>
            </w:r>
          </w:p>
        </w:tc>
        <w:tc>
          <w:tcPr>
            <w:tcW w:w="3550" w:type="dxa"/>
            <w:vAlign w:val="center"/>
          </w:tcPr>
          <w:p>
            <w:pPr>
              <w:spacing w:after="0"/>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服务顾问团队要求</w:t>
            </w:r>
          </w:p>
        </w:tc>
        <w:tc>
          <w:tcPr>
            <w:tcW w:w="351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符合比选文件要求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1" w:type="dxa"/>
            <w:vAlign w:val="center"/>
          </w:tcPr>
          <w:p>
            <w:pPr>
              <w:spacing w:after="0" w:line="400" w:lineRule="exact"/>
              <w:jc w:val="center"/>
              <w:rPr>
                <w:rFonts w:cs="宋体" w:asciiTheme="minorEastAsia" w:hAnsiTheme="minorEastAsia" w:eastAsiaTheme="minorEastAsia"/>
                <w:kern w:val="2"/>
                <w:sz w:val="24"/>
              </w:rPr>
            </w:pPr>
            <w:r>
              <w:rPr>
                <w:rFonts w:cs="宋体" w:asciiTheme="minorEastAsia" w:hAnsiTheme="minorEastAsia" w:eastAsiaTheme="minorEastAsia"/>
                <w:kern w:val="2"/>
                <w:sz w:val="24"/>
              </w:rPr>
              <w:t>3</w:t>
            </w:r>
          </w:p>
        </w:tc>
        <w:tc>
          <w:tcPr>
            <w:tcW w:w="3550" w:type="dxa"/>
            <w:vAlign w:val="center"/>
          </w:tcPr>
          <w:p>
            <w:pPr>
              <w:spacing w:after="0"/>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结论</w:t>
            </w:r>
          </w:p>
        </w:tc>
        <w:tc>
          <w:tcPr>
            <w:tcW w:w="351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以上条件必须全部通过</w:t>
            </w:r>
          </w:p>
        </w:tc>
      </w:tr>
    </w:tbl>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资格审查结论为“合格”与“不合格”。</w:t>
      </w:r>
    </w:p>
    <w:p>
      <w:pPr>
        <w:spacing w:after="0" w:line="50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资格审查</w:t>
      </w:r>
      <w:r>
        <w:rPr>
          <w:rFonts w:hint="eastAsia" w:ascii="仿宋_GB2312" w:hAnsi="仿宋_GB2312" w:eastAsia="仿宋_GB2312" w:cs="仿宋_GB2312"/>
          <w:sz w:val="32"/>
          <w:szCs w:val="32"/>
          <w:lang w:val="en-US" w:eastAsia="zh-CN"/>
        </w:rPr>
        <w:t>一般</w:t>
      </w:r>
      <w:r>
        <w:rPr>
          <w:rFonts w:hint="eastAsia" w:ascii="仿宋_GB2312" w:hAnsi="仿宋_GB2312" w:eastAsia="仿宋_GB2312" w:cs="仿宋_GB2312"/>
          <w:sz w:val="32"/>
          <w:szCs w:val="32"/>
        </w:rPr>
        <w:t>实行强制性合格评审，凡有一项不合格则不能通过。</w:t>
      </w:r>
      <w:r>
        <w:rPr>
          <w:rFonts w:hint="eastAsia" w:ascii="仿宋_GB2312" w:hAnsi="仿宋_GB2312" w:eastAsia="仿宋_GB2312" w:cs="仿宋_GB2312"/>
          <w:sz w:val="32"/>
          <w:szCs w:val="32"/>
          <w:lang w:val="en-US" w:eastAsia="zh-CN"/>
        </w:rPr>
        <w:t>但若比选按申请人及时进行有关澄清说明并予以补正，则在评审专家一致同意后进入下一步评审程序。</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初步评审</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初步评审主要为评审委员会对各比选申请文件是否在实质上响应了比选文件要求进行评审。</w:t>
      </w:r>
    </w:p>
    <w:p>
      <w:pPr>
        <w:spacing w:after="0" w:line="5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若比选申请文件有下表中所列任何一种情况的，则视为未能在实质上响应比选文件，属重大偏差，将不进入下一步评审程序。</w:t>
      </w:r>
    </w:p>
    <w:p>
      <w:pPr>
        <w:pStyle w:val="3"/>
        <w:widowControl w:val="0"/>
        <w:tabs>
          <w:tab w:val="left" w:pos="600"/>
        </w:tabs>
        <w:adjustRightInd/>
        <w:snapToGrid/>
        <w:spacing w:after="0" w:line="600" w:lineRule="exact"/>
        <w:ind w:left="0" w:leftChars="0"/>
        <w:jc w:val="center"/>
        <w:rPr>
          <w:rFonts w:ascii="仿宋_GB2312" w:hAnsi="宋体" w:eastAsia="仿宋_GB2312" w:cs="宋体"/>
          <w:b/>
          <w:bCs/>
          <w:color w:val="000000"/>
          <w:kern w:val="2"/>
          <w:sz w:val="28"/>
          <w:szCs w:val="20"/>
        </w:rPr>
      </w:pPr>
      <w:r>
        <w:rPr>
          <w:rFonts w:hint="eastAsia" w:ascii="仿宋_GB2312" w:hAnsi="宋体" w:eastAsia="仿宋_GB2312" w:cs="宋体"/>
          <w:b/>
          <w:bCs/>
          <w:color w:val="000000"/>
          <w:kern w:val="2"/>
          <w:sz w:val="28"/>
          <w:szCs w:val="20"/>
        </w:rPr>
        <w:t>比选申请文件初步评审表</w:t>
      </w:r>
    </w:p>
    <w:tbl>
      <w:tblPr>
        <w:tblStyle w:val="22"/>
        <w:tblW w:w="8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5735"/>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752"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序号</w:t>
            </w:r>
          </w:p>
        </w:tc>
        <w:tc>
          <w:tcPr>
            <w:tcW w:w="5735"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重大偏差情况</w:t>
            </w:r>
          </w:p>
        </w:tc>
        <w:tc>
          <w:tcPr>
            <w:tcW w:w="2289" w:type="dxa"/>
            <w:vAlign w:val="center"/>
          </w:tcPr>
          <w:p>
            <w:pPr>
              <w:spacing w:after="0" w:line="400" w:lineRule="exact"/>
              <w:jc w:val="center"/>
              <w:rPr>
                <w:rFonts w:cs="宋体" w:asciiTheme="minorEastAsia" w:hAnsiTheme="minorEastAsia" w:eastAsiaTheme="minorEastAsia"/>
                <w:b/>
                <w:bCs/>
                <w:kern w:val="2"/>
                <w:sz w:val="24"/>
              </w:rPr>
            </w:pPr>
            <w:r>
              <w:rPr>
                <w:rFonts w:hint="eastAsia" w:cs="宋体" w:asciiTheme="minorEastAsia" w:hAnsiTheme="minorEastAsia" w:eastAsiaTheme="minorEastAsia"/>
                <w:b/>
                <w:bCs/>
                <w:kern w:val="2"/>
                <w:sz w:val="24"/>
              </w:rPr>
              <w:t>是否存在重大偏差（填写“是”或“否”）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1</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比选申请文件签字或盖章不符合比选文件要求的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2</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明显不符合国家有关法规、文件和标准的要求的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3</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比选申请文件格式、内容不全或关键字迹模糊、无法辨认的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4</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比选申请人的报价不符合比选文件规定的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752"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5</w:t>
            </w:r>
          </w:p>
        </w:tc>
        <w:tc>
          <w:tcPr>
            <w:tcW w:w="5735" w:type="dxa"/>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比选申请文件附有比选人不能接受的条件的</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6487" w:type="dxa"/>
            <w:gridSpan w:val="2"/>
            <w:vAlign w:val="center"/>
          </w:tcPr>
          <w:p>
            <w:pPr>
              <w:spacing w:after="0" w:line="400" w:lineRule="exact"/>
              <w:jc w:val="center"/>
              <w:rPr>
                <w:rFonts w:cs="宋体" w:asciiTheme="minorEastAsia" w:hAnsiTheme="minorEastAsia" w:eastAsiaTheme="minorEastAsia"/>
                <w:kern w:val="2"/>
                <w:sz w:val="24"/>
              </w:rPr>
            </w:pPr>
            <w:r>
              <w:rPr>
                <w:rFonts w:hint="eastAsia" w:cs="宋体" w:asciiTheme="minorEastAsia" w:hAnsiTheme="minorEastAsia" w:eastAsiaTheme="minorEastAsia"/>
                <w:kern w:val="2"/>
                <w:sz w:val="24"/>
              </w:rPr>
              <w:t>结论（应填写“通过”或“不通过”）</w:t>
            </w:r>
          </w:p>
        </w:tc>
        <w:tc>
          <w:tcPr>
            <w:tcW w:w="2289" w:type="dxa"/>
            <w:vAlign w:val="center"/>
          </w:tcPr>
          <w:p>
            <w:pPr>
              <w:spacing w:after="0" w:line="400" w:lineRule="exact"/>
              <w:jc w:val="center"/>
              <w:rPr>
                <w:rFonts w:cs="宋体" w:asciiTheme="minorEastAsia" w:hAnsiTheme="minorEastAsia" w:eastAsiaTheme="minorEastAsia"/>
                <w:kern w:val="2"/>
                <w:sz w:val="24"/>
              </w:rPr>
            </w:pPr>
          </w:p>
        </w:tc>
      </w:tr>
    </w:tbl>
    <w:p>
      <w:pPr>
        <w:spacing w:after="0" w:line="560" w:lineRule="exact"/>
        <w:ind w:firstLine="640" w:firstLineChars="200"/>
        <w:jc w:val="both"/>
        <w:rPr>
          <w:rFonts w:ascii="仿宋_GB2312" w:hAnsi="仿宋_GB2312" w:eastAsia="仿宋_GB2312" w:cs="仿宋_GB2312"/>
          <w:sz w:val="28"/>
          <w:szCs w:val="28"/>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上述重大偏差之外的偏差为细微偏差。评审专家应当书面要求存在细微偏差的比选申请人在详细评审前予以补正。有关澄清说明与答复，比选申请人应以书面形式进行，但对实质性的内容不得更改。澄清问题作为比选申请文件的组成部分。</w:t>
      </w:r>
    </w:p>
    <w:p>
      <w:pPr>
        <w:spacing w:after="0" w:line="560" w:lineRule="exact"/>
        <w:ind w:firstLine="640" w:firstLineChars="200"/>
        <w:jc w:val="both"/>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谈判</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评审委员会所有成员集中与单一比选申请人分别进行一轮或多轮谈判，并给予所有参加谈判的比选申请人平等的谈判机会。谈判顺序以随机方式确定。</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谈判过程中，谈判的任何一方不得透露与谈判有关的其他比选申请人的相关资料、价格和其他信息。</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谈判过程中，评审委员会发现或者知晓比选申请人存在违法、违纪行为的，评审委员会应当将有权否决该比选申请人，不允许其提交最终报价。</w:t>
      </w:r>
    </w:p>
    <w:p>
      <w:pPr>
        <w:spacing w:after="0" w:line="560" w:lineRule="exact"/>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(五)最终报价</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谈判结束后，所有实质性响应的比选申请人在规定时间内提交最终报价表，未提交最终报价表的，其最终报价以比选申请文件报价函为准。且其最终报价不得高于对该项目最高限价，否则，评审委员会应当对其比选申请文件按无效处理。</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比选申请人应当保障最终报价表（表格格式详见第三章比选申请文件格式）加盖公章，在谈判结束后由比选申请人的</w:t>
      </w:r>
      <w:r>
        <w:rPr>
          <w:rFonts w:hint="eastAsia" w:ascii="仿宋_GB2312" w:hAnsi="仿宋_GB2312" w:eastAsia="仿宋_GB2312" w:cs="仿宋_GB2312"/>
          <w:sz w:val="32"/>
          <w:szCs w:val="32"/>
          <w:lang w:val="en-US" w:eastAsia="zh-CN"/>
        </w:rPr>
        <w:t>税务师事务所</w:t>
      </w:r>
      <w:r>
        <w:rPr>
          <w:rFonts w:hint="eastAsia" w:ascii="仿宋_GB2312" w:hAnsi="仿宋_GB2312" w:eastAsia="仿宋_GB2312" w:cs="仿宋_GB2312"/>
          <w:sz w:val="32"/>
          <w:szCs w:val="32"/>
          <w:lang w:eastAsia="zh-CN"/>
        </w:rPr>
        <w:t>负责人或委托代理人手工填写最终报价。最终报价表是比选申请人比选申请文件的有效组成部分。</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最终报价中的算术错误将按以下方法修正：大写金额和小写金额不一致的，以大写金额为准；如果小写、大写金额出现明显文字错误，应当按照澄清、说明。</w:t>
      </w:r>
    </w:p>
    <w:p>
      <w:pPr>
        <w:spacing w:after="0" w:line="560" w:lineRule="exact"/>
        <w:ind w:firstLine="640" w:firstLineChars="200"/>
        <w:jc w:val="both"/>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(六)详细评审</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评审委员会集中审查比选申请文件，对符合比选资格要求的律所按照《评分细则》打分。</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后附：评分细则</w:t>
      </w:r>
      <w:r>
        <w:rPr>
          <w:rFonts w:hint="eastAsia" w:ascii="仿宋_GB2312" w:hAnsi="仿宋_GB2312" w:eastAsia="仿宋_GB2312" w:cs="仿宋_GB2312"/>
          <w:sz w:val="32"/>
          <w:szCs w:val="32"/>
          <w:lang w:eastAsia="zh-CN"/>
        </w:rPr>
        <w:br w:type="page"/>
      </w:r>
    </w:p>
    <w:tbl>
      <w:tblPr>
        <w:tblStyle w:val="22"/>
        <w:tblpPr w:leftFromText="180" w:rightFromText="180" w:vertAnchor="text" w:horzAnchor="page" w:tblpXSpec="center" w:tblpY="633"/>
        <w:tblOverlap w:val="never"/>
        <w:tblW w:w="97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792"/>
        <w:gridCol w:w="1199"/>
        <w:gridCol w:w="5980"/>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617"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序号</w:t>
            </w:r>
          </w:p>
        </w:tc>
        <w:tc>
          <w:tcPr>
            <w:tcW w:w="792"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评分因素权重</w:t>
            </w:r>
          </w:p>
        </w:tc>
        <w:tc>
          <w:tcPr>
            <w:tcW w:w="1199"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内容</w:t>
            </w:r>
          </w:p>
        </w:tc>
        <w:tc>
          <w:tcPr>
            <w:tcW w:w="5980"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评分标准</w:t>
            </w:r>
          </w:p>
        </w:tc>
        <w:tc>
          <w:tcPr>
            <w:tcW w:w="1199" w:type="dxa"/>
            <w:vAlign w:val="center"/>
          </w:tcPr>
          <w:p>
            <w:pPr>
              <w:spacing w:line="280" w:lineRule="exact"/>
              <w:jc w:val="center"/>
              <w:rPr>
                <w:rFonts w:ascii="仿宋" w:hAnsi="仿宋" w:eastAsia="仿宋" w:cs="宋体"/>
                <w:b/>
                <w:kern w:val="2"/>
                <w:sz w:val="24"/>
              </w:rPr>
            </w:pPr>
            <w:r>
              <w:rPr>
                <w:rFonts w:hint="eastAsia" w:ascii="仿宋" w:hAnsi="仿宋" w:eastAsia="仿宋" w:cs="宋体"/>
                <w:b/>
                <w:kern w:val="2"/>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17"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1</w:t>
            </w:r>
          </w:p>
        </w:tc>
        <w:tc>
          <w:tcPr>
            <w:tcW w:w="792"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报价20%</w:t>
            </w:r>
          </w:p>
        </w:tc>
        <w:tc>
          <w:tcPr>
            <w:tcW w:w="1199"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报价</w:t>
            </w:r>
          </w:p>
        </w:tc>
        <w:tc>
          <w:tcPr>
            <w:tcW w:w="5980" w:type="dxa"/>
            <w:vAlign w:val="center"/>
          </w:tcPr>
          <w:p>
            <w:pPr>
              <w:spacing w:after="0" w:line="400" w:lineRule="exact"/>
              <w:ind w:firstLine="480" w:firstLineChars="200"/>
              <w:rPr>
                <w:rFonts w:ascii="仿宋" w:hAnsi="仿宋" w:eastAsia="仿宋" w:cs="宋体"/>
                <w:kern w:val="2"/>
                <w:sz w:val="24"/>
              </w:rPr>
            </w:pPr>
            <w:r>
              <w:rPr>
                <w:rFonts w:hint="eastAsia" w:ascii="仿宋" w:hAnsi="仿宋" w:eastAsia="仿宋" w:cs="宋体"/>
                <w:kern w:val="2"/>
                <w:sz w:val="24"/>
              </w:rPr>
              <w:t>所有有效比选申请人的有效比选报价的算数平均值为评审基准价。</w:t>
            </w:r>
          </w:p>
          <w:p>
            <w:pPr>
              <w:spacing w:after="0" w:line="400" w:lineRule="exact"/>
              <w:ind w:firstLine="480" w:firstLineChars="200"/>
              <w:rPr>
                <w:rFonts w:ascii="仿宋" w:hAnsi="仿宋" w:eastAsia="仿宋" w:cs="宋体"/>
                <w:kern w:val="2"/>
                <w:sz w:val="24"/>
              </w:rPr>
            </w:pPr>
            <w:r>
              <w:rPr>
                <w:rFonts w:hint="eastAsia" w:ascii="仿宋" w:hAnsi="仿宋" w:eastAsia="仿宋" w:cs="宋体"/>
                <w:kern w:val="2"/>
                <w:sz w:val="24"/>
              </w:rPr>
              <w:t>比选申请人的报价为基准价的，得20分。</w:t>
            </w:r>
          </w:p>
          <w:p>
            <w:pPr>
              <w:spacing w:after="0" w:line="400" w:lineRule="exact"/>
              <w:ind w:firstLine="480" w:firstLineChars="200"/>
              <w:rPr>
                <w:rFonts w:ascii="仿宋" w:hAnsi="仿宋" w:eastAsia="仿宋" w:cs="宋体"/>
                <w:kern w:val="2"/>
                <w:sz w:val="24"/>
              </w:rPr>
            </w:pPr>
            <w:r>
              <w:rPr>
                <w:rFonts w:hint="eastAsia" w:ascii="仿宋" w:hAnsi="仿宋" w:eastAsia="仿宋" w:cs="宋体"/>
                <w:kern w:val="2"/>
                <w:sz w:val="24"/>
              </w:rPr>
              <w:t>比选申请人的报价高于/低于基准价的，每高1%扣0.2分，每低1%扣0.1分，扣完为止。中间值用插入法进行计算，小数点后保留两位。</w:t>
            </w:r>
          </w:p>
        </w:tc>
        <w:tc>
          <w:tcPr>
            <w:tcW w:w="1199"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17" w:type="dxa"/>
            <w:vMerge w:val="restart"/>
            <w:vAlign w:val="center"/>
          </w:tcPr>
          <w:p>
            <w:pPr>
              <w:spacing w:line="280" w:lineRule="exact"/>
              <w:jc w:val="center"/>
              <w:rPr>
                <w:rFonts w:ascii="仿宋" w:hAnsi="仿宋" w:eastAsia="仿宋" w:cs="宋体"/>
                <w:kern w:val="2"/>
                <w:sz w:val="24"/>
              </w:rPr>
            </w:pPr>
          </w:p>
        </w:tc>
        <w:tc>
          <w:tcPr>
            <w:tcW w:w="792" w:type="dxa"/>
            <w:vMerge w:val="restart"/>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履约能力</w:t>
            </w:r>
            <w:r>
              <w:rPr>
                <w:rFonts w:ascii="仿宋" w:hAnsi="仿宋" w:eastAsia="仿宋" w:cs="宋体"/>
                <w:kern w:val="2"/>
                <w:sz w:val="24"/>
              </w:rPr>
              <w:t>4</w:t>
            </w:r>
            <w:r>
              <w:rPr>
                <w:rFonts w:hint="eastAsia" w:ascii="仿宋" w:hAnsi="仿宋" w:eastAsia="仿宋" w:cs="宋体"/>
                <w:kern w:val="2"/>
                <w:sz w:val="24"/>
              </w:rPr>
              <w:t>0%</w:t>
            </w:r>
          </w:p>
        </w:tc>
        <w:tc>
          <w:tcPr>
            <w:tcW w:w="1199"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团队税务师执业经验</w:t>
            </w:r>
          </w:p>
        </w:tc>
        <w:tc>
          <w:tcPr>
            <w:tcW w:w="5980" w:type="dxa"/>
            <w:vAlign w:val="center"/>
          </w:tcPr>
          <w:p>
            <w:pPr>
              <w:spacing w:after="0" w:line="400" w:lineRule="exact"/>
              <w:ind w:firstLine="480" w:firstLineChars="200"/>
              <w:rPr>
                <w:rFonts w:ascii="仿宋" w:hAnsi="仿宋" w:eastAsia="仿宋" w:cs="宋体"/>
                <w:kern w:val="2"/>
                <w:sz w:val="24"/>
                <w:highlight w:val="none"/>
              </w:rPr>
            </w:pPr>
            <w:r>
              <w:rPr>
                <w:rFonts w:hint="eastAsia" w:ascii="仿宋" w:hAnsi="仿宋" w:eastAsia="仿宋" w:cs="宋体"/>
                <w:kern w:val="2"/>
                <w:sz w:val="24"/>
                <w:highlight w:val="none"/>
              </w:rPr>
              <w:t>1、项目负责人：①具有有效的高级会计师证得6分；②具有5（含5年）-</w:t>
            </w:r>
            <w:r>
              <w:rPr>
                <w:rFonts w:hint="eastAsia" w:ascii="仿宋" w:hAnsi="仿宋" w:eastAsia="仿宋" w:cs="宋体"/>
                <w:kern w:val="2"/>
                <w:sz w:val="24"/>
                <w:highlight w:val="none"/>
                <w:lang w:val="en-US" w:eastAsia="zh-CN"/>
              </w:rPr>
              <w:t>10</w:t>
            </w:r>
            <w:r>
              <w:rPr>
                <w:rFonts w:hint="eastAsia" w:ascii="仿宋" w:hAnsi="仿宋" w:eastAsia="仿宋" w:cs="宋体"/>
                <w:kern w:val="2"/>
                <w:sz w:val="24"/>
                <w:highlight w:val="none"/>
              </w:rPr>
              <w:t>年（不含</w:t>
            </w:r>
            <w:r>
              <w:rPr>
                <w:rFonts w:hint="eastAsia" w:ascii="仿宋" w:hAnsi="仿宋" w:eastAsia="仿宋" w:cs="宋体"/>
                <w:kern w:val="2"/>
                <w:sz w:val="24"/>
                <w:highlight w:val="none"/>
                <w:lang w:val="en-US" w:eastAsia="zh-CN"/>
              </w:rPr>
              <w:t>10</w:t>
            </w:r>
            <w:r>
              <w:rPr>
                <w:rFonts w:hint="eastAsia" w:ascii="仿宋" w:hAnsi="仿宋" w:eastAsia="仿宋" w:cs="宋体"/>
                <w:kern w:val="2"/>
                <w:sz w:val="24"/>
                <w:highlight w:val="none"/>
              </w:rPr>
              <w:t>年）税务工作经验的得</w:t>
            </w:r>
            <w:r>
              <w:rPr>
                <w:rFonts w:hint="eastAsia" w:ascii="仿宋" w:hAnsi="仿宋" w:eastAsia="仿宋" w:cs="宋体"/>
                <w:kern w:val="2"/>
                <w:sz w:val="24"/>
                <w:highlight w:val="none"/>
                <w:lang w:val="en-US" w:eastAsia="zh-CN"/>
              </w:rPr>
              <w:t>6</w:t>
            </w:r>
            <w:r>
              <w:rPr>
                <w:rFonts w:hint="eastAsia" w:ascii="仿宋" w:hAnsi="仿宋" w:eastAsia="仿宋" w:cs="宋体"/>
                <w:kern w:val="2"/>
                <w:sz w:val="24"/>
                <w:highlight w:val="none"/>
              </w:rPr>
              <w:t>分，具有</w:t>
            </w:r>
            <w:r>
              <w:rPr>
                <w:rFonts w:hint="eastAsia" w:ascii="仿宋" w:hAnsi="仿宋" w:eastAsia="仿宋" w:cs="宋体"/>
                <w:kern w:val="2"/>
                <w:sz w:val="24"/>
                <w:highlight w:val="none"/>
                <w:lang w:val="en-US" w:eastAsia="zh-CN"/>
              </w:rPr>
              <w:t>10</w:t>
            </w:r>
            <w:r>
              <w:rPr>
                <w:rFonts w:hint="eastAsia" w:ascii="仿宋" w:hAnsi="仿宋" w:eastAsia="仿宋" w:cs="宋体"/>
                <w:kern w:val="2"/>
                <w:sz w:val="24"/>
                <w:highlight w:val="none"/>
              </w:rPr>
              <w:t>年及以上税务工作经验的</w:t>
            </w:r>
            <w:r>
              <w:rPr>
                <w:rFonts w:hint="eastAsia" w:ascii="仿宋" w:hAnsi="仿宋" w:eastAsia="仿宋" w:cs="宋体"/>
                <w:kern w:val="2"/>
                <w:sz w:val="24"/>
                <w:highlight w:val="none"/>
                <w:lang w:val="en-US" w:eastAsia="zh-CN"/>
              </w:rPr>
              <w:t>加2</w:t>
            </w:r>
            <w:r>
              <w:rPr>
                <w:rFonts w:hint="eastAsia" w:ascii="仿宋" w:hAnsi="仿宋" w:eastAsia="仿宋" w:cs="宋体"/>
                <w:kern w:val="2"/>
                <w:sz w:val="24"/>
                <w:highlight w:val="none"/>
              </w:rPr>
              <w:t>分。（税务工作经验年限以注册税务师资格证书上的签发日期起算），本项最多得14分；</w:t>
            </w:r>
          </w:p>
          <w:p>
            <w:pPr>
              <w:spacing w:after="0" w:line="400" w:lineRule="exact"/>
              <w:ind w:firstLine="480" w:firstLineChars="200"/>
              <w:rPr>
                <w:rFonts w:ascii="仿宋" w:hAnsi="仿宋" w:eastAsia="仿宋" w:cs="宋体"/>
                <w:kern w:val="2"/>
                <w:sz w:val="24"/>
              </w:rPr>
            </w:pPr>
            <w:r>
              <w:rPr>
                <w:rFonts w:hint="eastAsia" w:ascii="仿宋" w:hAnsi="仿宋" w:eastAsia="仿宋" w:cs="宋体"/>
                <w:kern w:val="2"/>
                <w:sz w:val="24"/>
                <w:highlight w:val="none"/>
              </w:rPr>
              <w:t>2、项目其他人员：拟派本项目服务团队人员（不含项目负责人）在3人</w:t>
            </w:r>
            <w:r>
              <w:rPr>
                <w:rFonts w:hint="eastAsia" w:ascii="仿宋" w:hAnsi="仿宋" w:eastAsia="仿宋" w:cs="宋体"/>
                <w:kern w:val="2"/>
                <w:sz w:val="24"/>
                <w:highlight w:val="none"/>
                <w:lang w:val="en-US" w:eastAsia="zh-CN"/>
              </w:rPr>
              <w:t>及以下</w:t>
            </w:r>
            <w:r>
              <w:rPr>
                <w:rFonts w:hint="eastAsia" w:ascii="仿宋" w:hAnsi="仿宋" w:eastAsia="仿宋" w:cs="宋体"/>
                <w:kern w:val="2"/>
                <w:sz w:val="24"/>
                <w:highlight w:val="none"/>
              </w:rPr>
              <w:t>得</w:t>
            </w:r>
            <w:r>
              <w:rPr>
                <w:rFonts w:hint="eastAsia" w:ascii="仿宋" w:hAnsi="仿宋" w:eastAsia="仿宋" w:cs="宋体"/>
                <w:kern w:val="2"/>
                <w:sz w:val="24"/>
                <w:highlight w:val="none"/>
                <w:lang w:val="en-US" w:eastAsia="zh-CN"/>
              </w:rPr>
              <w:t>4</w:t>
            </w:r>
            <w:r>
              <w:rPr>
                <w:rFonts w:hint="eastAsia" w:ascii="仿宋" w:hAnsi="仿宋" w:eastAsia="仿宋" w:cs="宋体"/>
                <w:kern w:val="2"/>
                <w:sz w:val="24"/>
                <w:highlight w:val="none"/>
              </w:rPr>
              <w:t>分，在3人及以上的</w:t>
            </w:r>
            <w:r>
              <w:rPr>
                <w:rFonts w:hint="eastAsia" w:ascii="仿宋" w:hAnsi="仿宋" w:eastAsia="仿宋" w:cs="宋体"/>
                <w:kern w:val="2"/>
                <w:sz w:val="24"/>
                <w:highlight w:val="none"/>
                <w:lang w:val="en-US" w:eastAsia="zh-CN"/>
              </w:rPr>
              <w:t>每多一人加1分</w:t>
            </w:r>
            <w:r>
              <w:rPr>
                <w:rFonts w:hint="eastAsia" w:ascii="仿宋" w:hAnsi="仿宋" w:eastAsia="仿宋" w:cs="宋体"/>
                <w:kern w:val="2"/>
                <w:sz w:val="24"/>
                <w:highlight w:val="none"/>
              </w:rPr>
              <w:t>，本项最多得6分。</w:t>
            </w:r>
          </w:p>
        </w:tc>
        <w:tc>
          <w:tcPr>
            <w:tcW w:w="1199"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617" w:type="dxa"/>
            <w:vMerge w:val="continue"/>
            <w:vAlign w:val="center"/>
          </w:tcPr>
          <w:p>
            <w:pPr>
              <w:spacing w:line="280" w:lineRule="exact"/>
              <w:jc w:val="center"/>
              <w:rPr>
                <w:rFonts w:ascii="仿宋" w:hAnsi="仿宋" w:eastAsia="仿宋" w:cs="宋体"/>
                <w:kern w:val="2"/>
                <w:sz w:val="24"/>
              </w:rPr>
            </w:pPr>
          </w:p>
        </w:tc>
        <w:tc>
          <w:tcPr>
            <w:tcW w:w="792" w:type="dxa"/>
            <w:vMerge w:val="continue"/>
            <w:vAlign w:val="center"/>
          </w:tcPr>
          <w:p>
            <w:pPr>
              <w:spacing w:line="280" w:lineRule="exact"/>
              <w:jc w:val="center"/>
              <w:rPr>
                <w:rFonts w:ascii="仿宋" w:hAnsi="仿宋" w:eastAsia="仿宋" w:cs="宋体"/>
                <w:kern w:val="2"/>
                <w:sz w:val="24"/>
              </w:rPr>
            </w:pPr>
          </w:p>
        </w:tc>
        <w:tc>
          <w:tcPr>
            <w:tcW w:w="1199" w:type="dxa"/>
            <w:vAlign w:val="center"/>
          </w:tcPr>
          <w:p>
            <w:pPr>
              <w:spacing w:line="280" w:lineRule="exact"/>
              <w:rPr>
                <w:rFonts w:ascii="仿宋" w:hAnsi="仿宋" w:eastAsia="仿宋" w:cs="宋体"/>
                <w:kern w:val="2"/>
                <w:sz w:val="24"/>
              </w:rPr>
            </w:pPr>
            <w:r>
              <w:rPr>
                <w:rFonts w:hint="eastAsia" w:ascii="仿宋" w:hAnsi="仿宋" w:eastAsia="仿宋" w:cs="宋体"/>
                <w:kern w:val="2"/>
                <w:sz w:val="24"/>
              </w:rPr>
              <w:t>团队常年税务顾问业绩</w:t>
            </w:r>
          </w:p>
        </w:tc>
        <w:tc>
          <w:tcPr>
            <w:tcW w:w="5980" w:type="dxa"/>
            <w:vAlign w:val="center"/>
          </w:tcPr>
          <w:p>
            <w:pPr>
              <w:spacing w:after="0" w:line="400" w:lineRule="exact"/>
              <w:ind w:firstLine="480" w:firstLineChars="200"/>
              <w:rPr>
                <w:rFonts w:ascii="仿宋" w:hAnsi="仿宋" w:eastAsia="仿宋" w:cs="宋体"/>
                <w:kern w:val="2"/>
                <w:sz w:val="24"/>
              </w:rPr>
            </w:pPr>
            <w:r>
              <w:rPr>
                <w:rFonts w:hint="eastAsia" w:ascii="仿宋" w:hAnsi="仿宋" w:eastAsia="仿宋" w:cs="宋体"/>
                <w:kern w:val="2"/>
                <w:sz w:val="24"/>
              </w:rPr>
              <w:t>满足资格要求得8分，在此基础上，20</w:t>
            </w:r>
            <w:r>
              <w:rPr>
                <w:rFonts w:hint="eastAsia" w:ascii="仿宋" w:hAnsi="仿宋" w:eastAsia="仿宋" w:cs="宋体"/>
                <w:kern w:val="2"/>
                <w:sz w:val="24"/>
                <w:lang w:val="en-US" w:eastAsia="zh-CN"/>
              </w:rPr>
              <w:t>20</w:t>
            </w:r>
            <w:r>
              <w:rPr>
                <w:rFonts w:hint="eastAsia" w:ascii="仿宋" w:hAnsi="仿宋" w:eastAsia="仿宋" w:cs="宋体"/>
                <w:kern w:val="2"/>
                <w:sz w:val="24"/>
              </w:rPr>
              <w:t>年1月1日至今每增加1个市级及以上国有企业或上市公司的税务咨询项目加6分，本项最多得20分（业绩不重复得分）。</w:t>
            </w:r>
          </w:p>
          <w:p>
            <w:pPr>
              <w:spacing w:after="0" w:line="400" w:lineRule="exact"/>
              <w:ind w:firstLine="480" w:firstLineChars="200"/>
              <w:rPr>
                <w:rFonts w:ascii="仿宋" w:hAnsi="仿宋" w:eastAsia="仿宋" w:cs="宋体"/>
                <w:kern w:val="2"/>
                <w:sz w:val="24"/>
              </w:rPr>
            </w:pPr>
            <w:r>
              <w:rPr>
                <w:rFonts w:hint="eastAsia" w:ascii="仿宋" w:hAnsi="仿宋" w:eastAsia="仿宋" w:cs="宋体"/>
                <w:kern w:val="2"/>
                <w:sz w:val="24"/>
              </w:rPr>
              <w:t>注：上述同一业绩不重复得分，同一服务对象不同年度业绩可视为不同业绩单独得分。提供合同复印件</w:t>
            </w:r>
          </w:p>
        </w:tc>
        <w:tc>
          <w:tcPr>
            <w:tcW w:w="1199"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617" w:type="dxa"/>
            <w:vMerge w:val="restart"/>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3</w:t>
            </w:r>
          </w:p>
        </w:tc>
        <w:tc>
          <w:tcPr>
            <w:tcW w:w="792" w:type="dxa"/>
            <w:vMerge w:val="restart"/>
            <w:vAlign w:val="center"/>
          </w:tcPr>
          <w:p>
            <w:pPr>
              <w:spacing w:after="0" w:line="360" w:lineRule="exact"/>
              <w:jc w:val="center"/>
              <w:rPr>
                <w:rFonts w:ascii="仿宋" w:hAnsi="仿宋" w:eastAsia="仿宋" w:cs="宋体"/>
                <w:kern w:val="2"/>
                <w:sz w:val="24"/>
              </w:rPr>
            </w:pPr>
            <w:r>
              <w:rPr>
                <w:rFonts w:hint="eastAsia" w:ascii="仿宋" w:hAnsi="仿宋" w:eastAsia="仿宋" w:cs="宋体"/>
                <w:kern w:val="2"/>
                <w:sz w:val="24"/>
              </w:rPr>
              <w:t>服务</w:t>
            </w:r>
          </w:p>
          <w:p>
            <w:pPr>
              <w:spacing w:after="0" w:line="360" w:lineRule="exact"/>
              <w:jc w:val="center"/>
              <w:rPr>
                <w:rFonts w:ascii="仿宋" w:hAnsi="仿宋" w:eastAsia="仿宋" w:cs="宋体"/>
                <w:kern w:val="2"/>
                <w:sz w:val="24"/>
              </w:rPr>
            </w:pPr>
            <w:r>
              <w:rPr>
                <w:rFonts w:hint="eastAsia" w:ascii="仿宋" w:hAnsi="仿宋" w:eastAsia="仿宋" w:cs="宋体"/>
                <w:kern w:val="2"/>
                <w:sz w:val="24"/>
              </w:rPr>
              <w:t>方案</w:t>
            </w:r>
          </w:p>
          <w:p>
            <w:pPr>
              <w:spacing w:after="0" w:line="360" w:lineRule="exact"/>
              <w:jc w:val="center"/>
              <w:rPr>
                <w:rFonts w:ascii="仿宋" w:hAnsi="仿宋" w:eastAsia="仿宋" w:cs="宋体"/>
                <w:kern w:val="2"/>
                <w:sz w:val="24"/>
              </w:rPr>
            </w:pPr>
            <w:r>
              <w:rPr>
                <w:rFonts w:ascii="仿宋" w:hAnsi="仿宋" w:eastAsia="仿宋" w:cs="宋体"/>
                <w:kern w:val="2"/>
                <w:sz w:val="24"/>
              </w:rPr>
              <w:t>4</w:t>
            </w:r>
            <w:r>
              <w:rPr>
                <w:rFonts w:hint="eastAsia" w:ascii="仿宋" w:hAnsi="仿宋" w:eastAsia="仿宋" w:cs="宋体"/>
                <w:kern w:val="2"/>
                <w:sz w:val="24"/>
              </w:rPr>
              <w:t>0%</w:t>
            </w:r>
          </w:p>
        </w:tc>
        <w:tc>
          <w:tcPr>
            <w:tcW w:w="1199"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税务顾问服务方案</w:t>
            </w:r>
          </w:p>
        </w:tc>
        <w:tc>
          <w:tcPr>
            <w:tcW w:w="5980" w:type="dxa"/>
            <w:vAlign w:val="center"/>
          </w:tcPr>
          <w:p>
            <w:pPr>
              <w:spacing w:after="0" w:line="400" w:lineRule="exact"/>
              <w:ind w:firstLine="480" w:firstLineChars="200"/>
              <w:rPr>
                <w:rFonts w:ascii="仿宋" w:hAnsi="仿宋" w:eastAsia="仿宋" w:cs="宋体"/>
                <w:kern w:val="2"/>
                <w:sz w:val="24"/>
              </w:rPr>
            </w:pPr>
            <w:r>
              <w:rPr>
                <w:rFonts w:hint="eastAsia" w:ascii="仿宋" w:hAnsi="仿宋" w:eastAsia="仿宋" w:cs="宋体"/>
                <w:kern w:val="2"/>
                <w:sz w:val="24"/>
              </w:rPr>
              <w:t>事务所对本项目税务顾问服务的工作思路、工作重难点、工作方法及保密措施等进行阐述。评标委员会对方案的合理性、完整性、可操作性进行综合评审。优得</w:t>
            </w:r>
            <w:r>
              <w:rPr>
                <w:rFonts w:ascii="仿宋" w:hAnsi="仿宋" w:eastAsia="仿宋" w:cs="宋体"/>
                <w:kern w:val="2"/>
                <w:sz w:val="24"/>
              </w:rPr>
              <w:t>3</w:t>
            </w:r>
            <w:r>
              <w:rPr>
                <w:rFonts w:hint="eastAsia" w:ascii="仿宋" w:hAnsi="仿宋" w:eastAsia="仿宋" w:cs="宋体"/>
                <w:kern w:val="2"/>
                <w:sz w:val="24"/>
              </w:rPr>
              <w:t>0～</w:t>
            </w:r>
            <w:r>
              <w:rPr>
                <w:rFonts w:ascii="仿宋" w:hAnsi="仿宋" w:eastAsia="仿宋" w:cs="宋体"/>
                <w:kern w:val="2"/>
                <w:sz w:val="24"/>
              </w:rPr>
              <w:t>20</w:t>
            </w:r>
            <w:r>
              <w:rPr>
                <w:rFonts w:hint="eastAsia" w:ascii="仿宋" w:hAnsi="仿宋" w:eastAsia="仿宋" w:cs="宋体"/>
                <w:kern w:val="2"/>
                <w:sz w:val="24"/>
              </w:rPr>
              <w:t>分，良得</w:t>
            </w:r>
            <w:r>
              <w:rPr>
                <w:rFonts w:ascii="仿宋" w:hAnsi="仿宋" w:eastAsia="仿宋" w:cs="宋体"/>
                <w:kern w:val="2"/>
                <w:sz w:val="24"/>
              </w:rPr>
              <w:t>20</w:t>
            </w:r>
            <w:r>
              <w:rPr>
                <w:rFonts w:hint="eastAsia" w:ascii="仿宋" w:hAnsi="仿宋" w:eastAsia="仿宋" w:cs="宋体"/>
                <w:kern w:val="2"/>
                <w:sz w:val="24"/>
              </w:rPr>
              <w:t>～10分，一般得9～1分，无得0分。</w:t>
            </w:r>
          </w:p>
        </w:tc>
        <w:tc>
          <w:tcPr>
            <w:tcW w:w="1199" w:type="dxa"/>
            <w:vAlign w:val="center"/>
          </w:tcPr>
          <w:p>
            <w:pPr>
              <w:spacing w:line="280" w:lineRule="exact"/>
              <w:jc w:val="center"/>
              <w:rPr>
                <w:rFonts w:ascii="仿宋" w:hAnsi="仿宋" w:eastAsia="仿宋" w:cs="宋体"/>
                <w:kern w:val="2"/>
                <w:sz w:val="24"/>
              </w:rPr>
            </w:pPr>
            <w:r>
              <w:rPr>
                <w:rFonts w:ascii="仿宋" w:hAnsi="仿宋" w:eastAsia="仿宋" w:cs="宋体"/>
                <w:kern w:val="2"/>
                <w:sz w:val="24"/>
              </w:rPr>
              <w:t>3</w:t>
            </w:r>
            <w:r>
              <w:rPr>
                <w:rFonts w:hint="eastAsia" w:ascii="仿宋" w:hAnsi="仿宋" w:eastAsia="仿宋" w:cs="宋体"/>
                <w:kern w:val="2"/>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jc w:val="center"/>
        </w:trPr>
        <w:tc>
          <w:tcPr>
            <w:tcW w:w="617" w:type="dxa"/>
            <w:vMerge w:val="continue"/>
            <w:vAlign w:val="center"/>
          </w:tcPr>
          <w:p>
            <w:pPr>
              <w:spacing w:line="280" w:lineRule="exact"/>
              <w:jc w:val="center"/>
              <w:rPr>
                <w:rFonts w:ascii="仿宋" w:hAnsi="仿宋" w:eastAsia="仿宋" w:cs="宋体"/>
                <w:kern w:val="2"/>
                <w:sz w:val="24"/>
              </w:rPr>
            </w:pPr>
          </w:p>
        </w:tc>
        <w:tc>
          <w:tcPr>
            <w:tcW w:w="792" w:type="dxa"/>
            <w:vMerge w:val="continue"/>
            <w:vAlign w:val="center"/>
          </w:tcPr>
          <w:p>
            <w:pPr>
              <w:spacing w:line="280" w:lineRule="exact"/>
              <w:jc w:val="center"/>
              <w:rPr>
                <w:rFonts w:ascii="仿宋" w:hAnsi="仿宋" w:eastAsia="仿宋" w:cs="宋体"/>
                <w:kern w:val="2"/>
                <w:sz w:val="24"/>
              </w:rPr>
            </w:pPr>
          </w:p>
        </w:tc>
        <w:tc>
          <w:tcPr>
            <w:tcW w:w="1199" w:type="dxa"/>
            <w:vAlign w:val="center"/>
          </w:tcPr>
          <w:p>
            <w:pPr>
              <w:spacing w:line="280" w:lineRule="exact"/>
              <w:jc w:val="center"/>
              <w:rPr>
                <w:rFonts w:ascii="仿宋" w:hAnsi="仿宋" w:eastAsia="仿宋" w:cs="宋体"/>
                <w:kern w:val="2"/>
                <w:sz w:val="24"/>
              </w:rPr>
            </w:pPr>
            <w:r>
              <w:rPr>
                <w:rFonts w:hint="eastAsia" w:ascii="仿宋" w:hAnsi="仿宋" w:eastAsia="仿宋" w:cs="宋体"/>
                <w:kern w:val="2"/>
                <w:sz w:val="24"/>
              </w:rPr>
              <w:t>服务方案中的人员配备</w:t>
            </w:r>
          </w:p>
        </w:tc>
        <w:tc>
          <w:tcPr>
            <w:tcW w:w="5980" w:type="dxa"/>
            <w:vAlign w:val="center"/>
          </w:tcPr>
          <w:p>
            <w:pPr>
              <w:spacing w:after="0" w:line="400" w:lineRule="exact"/>
              <w:ind w:firstLine="480" w:firstLineChars="200"/>
              <w:rPr>
                <w:rFonts w:ascii="仿宋" w:hAnsi="仿宋" w:eastAsia="仿宋" w:cs="宋体"/>
                <w:kern w:val="2"/>
                <w:sz w:val="24"/>
              </w:rPr>
            </w:pPr>
            <w:r>
              <w:rPr>
                <w:rFonts w:hint="eastAsia" w:ascii="仿宋" w:hAnsi="仿宋" w:eastAsia="仿宋" w:cs="宋体"/>
                <w:kern w:val="2"/>
                <w:sz w:val="24"/>
              </w:rPr>
              <w:t>配备人数合理，人员结构科学，人员从业经验丰富，得10～</w:t>
            </w:r>
            <w:r>
              <w:rPr>
                <w:rFonts w:ascii="仿宋" w:hAnsi="仿宋" w:eastAsia="仿宋" w:cs="宋体"/>
                <w:kern w:val="2"/>
                <w:sz w:val="24"/>
              </w:rPr>
              <w:t>8</w:t>
            </w:r>
            <w:r>
              <w:rPr>
                <w:rFonts w:hint="eastAsia" w:ascii="仿宋" w:hAnsi="仿宋" w:eastAsia="仿宋" w:cs="宋体"/>
                <w:kern w:val="2"/>
                <w:sz w:val="24"/>
              </w:rPr>
              <w:t>分；配备人数较合理，人员结构较科学，人员从业经验较丰富，得</w:t>
            </w:r>
            <w:r>
              <w:rPr>
                <w:rFonts w:ascii="仿宋" w:hAnsi="仿宋" w:eastAsia="仿宋" w:cs="宋体"/>
                <w:kern w:val="2"/>
                <w:sz w:val="24"/>
              </w:rPr>
              <w:t>7</w:t>
            </w:r>
            <w:r>
              <w:rPr>
                <w:rFonts w:hint="eastAsia" w:ascii="仿宋" w:hAnsi="仿宋" w:eastAsia="仿宋" w:cs="宋体"/>
                <w:kern w:val="2"/>
                <w:sz w:val="24"/>
              </w:rPr>
              <w:t>～</w:t>
            </w:r>
            <w:r>
              <w:rPr>
                <w:rFonts w:ascii="仿宋" w:hAnsi="仿宋" w:eastAsia="仿宋" w:cs="宋体"/>
                <w:kern w:val="2"/>
                <w:sz w:val="24"/>
              </w:rPr>
              <w:t>5</w:t>
            </w:r>
            <w:r>
              <w:rPr>
                <w:rFonts w:hint="eastAsia" w:ascii="仿宋" w:hAnsi="仿宋" w:eastAsia="仿宋" w:cs="宋体"/>
                <w:kern w:val="2"/>
                <w:sz w:val="24"/>
              </w:rPr>
              <w:t>分；配备人数不合理，人员结构不科学，人员从业经验一般，得</w:t>
            </w:r>
            <w:r>
              <w:rPr>
                <w:rFonts w:ascii="仿宋" w:hAnsi="仿宋" w:eastAsia="仿宋" w:cs="宋体"/>
                <w:kern w:val="2"/>
                <w:sz w:val="24"/>
              </w:rPr>
              <w:t>4</w:t>
            </w:r>
            <w:r>
              <w:rPr>
                <w:rFonts w:hint="eastAsia" w:ascii="仿宋" w:hAnsi="仿宋" w:eastAsia="仿宋" w:cs="宋体"/>
                <w:kern w:val="2"/>
                <w:sz w:val="24"/>
              </w:rPr>
              <w:t>～</w:t>
            </w:r>
            <w:r>
              <w:rPr>
                <w:rFonts w:ascii="仿宋" w:hAnsi="仿宋" w:eastAsia="仿宋" w:cs="宋体"/>
                <w:kern w:val="2"/>
                <w:sz w:val="24"/>
              </w:rPr>
              <w:t>2</w:t>
            </w:r>
            <w:r>
              <w:rPr>
                <w:rFonts w:hint="eastAsia" w:ascii="仿宋" w:hAnsi="仿宋" w:eastAsia="仿宋" w:cs="宋体"/>
                <w:kern w:val="2"/>
                <w:sz w:val="24"/>
              </w:rPr>
              <w:t>分，无此内容，得0分。</w:t>
            </w:r>
          </w:p>
        </w:tc>
        <w:tc>
          <w:tcPr>
            <w:tcW w:w="1199" w:type="dxa"/>
            <w:vAlign w:val="center"/>
          </w:tcPr>
          <w:p>
            <w:pPr>
              <w:spacing w:line="280" w:lineRule="exact"/>
              <w:jc w:val="center"/>
              <w:rPr>
                <w:rFonts w:ascii="仿宋" w:hAnsi="仿宋" w:eastAsia="仿宋" w:cs="宋体"/>
                <w:kern w:val="2"/>
                <w:sz w:val="24"/>
              </w:rPr>
            </w:pPr>
            <w:r>
              <w:rPr>
                <w:rFonts w:ascii="仿宋" w:hAnsi="仿宋" w:eastAsia="仿宋" w:cs="宋体"/>
                <w:kern w:val="2"/>
                <w:sz w:val="24"/>
              </w:rPr>
              <w:t>1</w:t>
            </w:r>
            <w:r>
              <w:rPr>
                <w:rFonts w:hint="eastAsia" w:ascii="仿宋" w:hAnsi="仿宋" w:eastAsia="仿宋" w:cs="宋体"/>
                <w:kern w:val="2"/>
                <w:sz w:val="24"/>
              </w:rPr>
              <w:t>0分</w:t>
            </w:r>
          </w:p>
        </w:tc>
      </w:tr>
    </w:tbl>
    <w:p>
      <w:pPr>
        <w:numPr>
          <w:ilvl w:val="0"/>
          <w:numId w:val="5"/>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综合评分</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各比选申请人的综合得分等于评分细则各项之和，各项得分按四舍五入原则精确到小数点后两位。</w:t>
      </w:r>
    </w:p>
    <w:p>
      <w:pPr>
        <w:numPr>
          <w:ilvl w:val="0"/>
          <w:numId w:val="5"/>
        </w:numPr>
        <w:spacing w:after="0" w:line="5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推荐中选候选人</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评审委员会对通过资格评审的比选申请人，按照经评审的综合得分由高到低推荐中选候选人（若不足3名，则按相应数量推荐）。若多名比选申请人的综合得分相同，则报价低的比选申请人将被优先推荐。</w:t>
      </w:r>
    </w:p>
    <w:p>
      <w:pPr>
        <w:spacing w:after="0" w:line="56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br w:type="page"/>
      </w:r>
    </w:p>
    <w:p>
      <w:pPr>
        <w:spacing w:after="0" w:line="560" w:lineRule="exact"/>
        <w:ind w:firstLine="880" w:firstLineChars="200"/>
        <w:jc w:val="center"/>
        <w:rPr>
          <w:rFonts w:hint="eastAsia" w:ascii="方正小标宋简体" w:hAnsi="方正小标宋简体" w:eastAsia="方正小标宋简体" w:cs="方正小标宋简体"/>
          <w:bCs/>
          <w:kern w:val="44"/>
          <w:sz w:val="44"/>
          <w:szCs w:val="44"/>
        </w:rPr>
      </w:pPr>
      <w:bookmarkStart w:id="37" w:name="_Toc96874919"/>
      <w:r>
        <w:rPr>
          <w:rFonts w:hint="eastAsia" w:ascii="方正小标宋简体" w:hAnsi="方正小标宋简体" w:eastAsia="方正小标宋简体" w:cs="方正小标宋简体"/>
          <w:bCs/>
          <w:kern w:val="44"/>
          <w:sz w:val="44"/>
          <w:szCs w:val="44"/>
        </w:rPr>
        <w:t>第六章  合同模板</w:t>
      </w:r>
      <w:bookmarkEnd w:id="37"/>
    </w:p>
    <w:p>
      <w:pPr>
        <w:spacing w:after="0" w:line="500" w:lineRule="exact"/>
        <w:rPr>
          <w:rFonts w:asciiTheme="majorEastAsia" w:hAnsiTheme="majorEastAsia" w:eastAsiaTheme="majorEastAsia"/>
        </w:rPr>
      </w:pPr>
      <w:r>
        <w:rPr>
          <w:rFonts w:hint="eastAsia" w:asciiTheme="majorEastAsia" w:hAnsiTheme="majorEastAsia" w:eastAsiaTheme="majorEastAsia"/>
        </w:rPr>
        <w:t>注：（本合同模板仅供参考，以实际签订的法律顾问合同为准）</w:t>
      </w:r>
    </w:p>
    <w:p>
      <w:pPr>
        <w:spacing w:after="0" w:line="500" w:lineRule="exact"/>
        <w:rPr>
          <w:rFonts w:asciiTheme="majorEastAsia" w:hAnsiTheme="majorEastAsia" w:eastAsiaTheme="majorEastAsia"/>
        </w:rPr>
      </w:pPr>
    </w:p>
    <w:p>
      <w:pPr>
        <w:spacing w:line="360" w:lineRule="auto"/>
        <w:jc w:val="center"/>
        <w:rPr>
          <w:rFonts w:ascii="黑体" w:hAnsi="黑体" w:eastAsia="黑体"/>
          <w:b/>
          <w:bCs/>
          <w:sz w:val="32"/>
          <w:szCs w:val="32"/>
        </w:rPr>
      </w:pPr>
      <w:r>
        <w:rPr>
          <w:rFonts w:hint="eastAsia" w:ascii="黑体" w:hAnsi="黑体" w:eastAsia="黑体"/>
          <w:b/>
          <w:bCs/>
          <w:sz w:val="32"/>
          <w:szCs w:val="32"/>
        </w:rPr>
        <w:t>涉税顾问服务业务约定书</w:t>
      </w:r>
    </w:p>
    <w:p>
      <w:pPr>
        <w:spacing w:after="120" w:line="480" w:lineRule="auto"/>
        <w:rPr>
          <w:rFonts w:ascii="黑体" w:hAnsi="黑体" w:eastAsia="黑体"/>
          <w:b/>
        </w:rPr>
      </w:pPr>
      <w:r>
        <w:rPr>
          <w:rFonts w:hint="eastAsia" w:ascii="黑体" w:hAnsi="黑体" w:eastAsia="黑体"/>
          <w:b/>
        </w:rPr>
        <w:t>委托方：四川蜀道铁路运营管理集团有限责任公司（以下简称“甲方”）</w:t>
      </w:r>
    </w:p>
    <w:p>
      <w:pPr>
        <w:spacing w:after="120" w:line="480" w:lineRule="auto"/>
        <w:rPr>
          <w:rFonts w:ascii="黑体" w:hAnsi="黑体" w:eastAsia="黑体" w:cs="黑体"/>
          <w:b/>
        </w:rPr>
      </w:pPr>
      <w:r>
        <w:rPr>
          <w:rFonts w:hint="eastAsia" w:ascii="黑体" w:hAnsi="黑体" w:eastAsia="黑体"/>
          <w:b/>
        </w:rPr>
        <w:t xml:space="preserve">受托方：                                  </w:t>
      </w:r>
      <w:r>
        <w:rPr>
          <w:rFonts w:ascii="黑体" w:hAnsi="黑体" w:eastAsia="黑体" w:cs="黑体"/>
          <w:b/>
        </w:rPr>
        <w:t>(</w:t>
      </w:r>
      <w:r>
        <w:rPr>
          <w:rFonts w:hint="eastAsia" w:ascii="黑体" w:hAnsi="黑体" w:eastAsia="黑体" w:cs="黑体"/>
          <w:b/>
        </w:rPr>
        <w:t>以下简称“乙方”</w:t>
      </w:r>
      <w:r>
        <w:rPr>
          <w:rFonts w:ascii="黑体" w:hAnsi="黑体" w:eastAsia="黑体" w:cs="黑体"/>
          <w:b/>
        </w:rPr>
        <w:t>)</w:t>
      </w:r>
    </w:p>
    <w:p>
      <w:pPr>
        <w:pStyle w:val="11"/>
        <w:spacing w:line="460" w:lineRule="exact"/>
        <w:ind w:left="0" w:leftChars="0" w:firstLine="440" w:firstLineChars="200"/>
        <w:rPr>
          <w:rFonts w:ascii="黑体" w:hAnsi="黑体" w:eastAsia="黑体"/>
          <w:bCs/>
          <w:color w:val="000000"/>
        </w:rPr>
      </w:pPr>
      <w:r>
        <w:rPr>
          <w:rFonts w:hint="eastAsia" w:ascii="黑体" w:hAnsi="黑体" w:eastAsia="黑体"/>
          <w:bCs/>
          <w:color w:val="000000"/>
        </w:rPr>
        <w:t>甲方因业务需要，根据《中华人民共和国民法典》有关规定，现聘请乙方提供税务顾问咨询服务。经双方友好协商，协议如下：</w:t>
      </w:r>
    </w:p>
    <w:p>
      <w:pPr>
        <w:spacing w:line="360" w:lineRule="auto"/>
        <w:ind w:firstLine="442" w:firstLineChars="200"/>
        <w:rPr>
          <w:rFonts w:ascii="黑体" w:hAnsi="黑体" w:eastAsia="黑体"/>
          <w:b/>
        </w:rPr>
      </w:pPr>
      <w:r>
        <w:rPr>
          <w:rFonts w:hint="eastAsia" w:ascii="黑体" w:hAnsi="黑体" w:eastAsia="黑体"/>
          <w:b/>
        </w:rPr>
        <w:t>一、委托目的与背景</w:t>
      </w:r>
    </w:p>
    <w:p>
      <w:pPr>
        <w:spacing w:line="360" w:lineRule="auto"/>
        <w:ind w:firstLine="440" w:firstLineChars="200"/>
        <w:rPr>
          <w:rFonts w:ascii="黑体" w:hAnsi="黑体" w:eastAsia="黑体"/>
          <w:bCs/>
          <w:color w:val="000000"/>
        </w:rPr>
      </w:pPr>
      <w:r>
        <w:rPr>
          <w:rFonts w:hint="eastAsia" w:ascii="黑体" w:hAnsi="黑体" w:eastAsia="黑体"/>
          <w:bCs/>
          <w:color w:val="000000"/>
        </w:rPr>
        <w:t>（1）为甲方企业提供税收管理理念、思路和方法的支持；</w:t>
      </w:r>
    </w:p>
    <w:p>
      <w:pPr>
        <w:spacing w:line="360" w:lineRule="auto"/>
        <w:ind w:firstLine="440" w:firstLineChars="200"/>
        <w:rPr>
          <w:rFonts w:ascii="黑体" w:hAnsi="黑体" w:eastAsia="黑体"/>
          <w:bCs/>
          <w:color w:val="000000"/>
        </w:rPr>
      </w:pPr>
      <w:r>
        <w:rPr>
          <w:rFonts w:hint="eastAsia" w:ascii="黑体" w:hAnsi="黑体" w:eastAsia="黑体"/>
          <w:bCs/>
          <w:color w:val="000000"/>
        </w:rPr>
        <w:t>（2）协助甲方财务做好税收风险管理，提升应对能力。乙方每季度派人到现场进行税收检查；</w:t>
      </w:r>
    </w:p>
    <w:p>
      <w:pPr>
        <w:spacing w:line="360" w:lineRule="auto"/>
        <w:ind w:firstLine="440" w:firstLineChars="200"/>
        <w:rPr>
          <w:rFonts w:ascii="黑体" w:hAnsi="黑体" w:eastAsia="黑体"/>
        </w:rPr>
      </w:pPr>
      <w:r>
        <w:rPr>
          <w:rFonts w:hint="eastAsia" w:ascii="黑体" w:hAnsi="黑体" w:eastAsia="黑体"/>
        </w:rPr>
        <w:t>（3）协助甲方正确运用国家产业政策和财税政策，维护好税收合法权益。</w:t>
      </w:r>
    </w:p>
    <w:p>
      <w:pPr>
        <w:spacing w:line="360" w:lineRule="auto"/>
        <w:ind w:firstLine="442" w:firstLineChars="200"/>
        <w:rPr>
          <w:rFonts w:ascii="黑体" w:hAnsi="黑体" w:eastAsia="黑体"/>
          <w:b/>
          <w:highlight w:val="none"/>
        </w:rPr>
      </w:pPr>
      <w:r>
        <w:rPr>
          <w:rFonts w:hint="eastAsia" w:ascii="黑体" w:hAnsi="黑体" w:eastAsia="黑体"/>
          <w:b/>
          <w:highlight w:val="none"/>
        </w:rPr>
        <w:t>二、具体服务内容</w:t>
      </w:r>
    </w:p>
    <w:p>
      <w:pPr>
        <w:pStyle w:val="50"/>
        <w:ind w:firstLine="442"/>
        <w:rPr>
          <w:rFonts w:ascii="黑体" w:hAnsi="黑体" w:eastAsia="黑体" w:cs="楷体_GB2312"/>
          <w:b/>
        </w:rPr>
      </w:pPr>
      <w:r>
        <w:rPr>
          <w:rFonts w:hint="eastAsia" w:ascii="黑体" w:hAnsi="黑体" w:eastAsia="黑体" w:cs="楷体_GB2312"/>
          <w:b/>
        </w:rPr>
        <w:t>（一）为公司重大事项提供税务筹划并参与过程管理</w:t>
      </w:r>
    </w:p>
    <w:p>
      <w:pPr>
        <w:spacing w:line="360" w:lineRule="auto"/>
        <w:ind w:firstLine="440" w:firstLineChars="200"/>
        <w:rPr>
          <w:rFonts w:ascii="黑体" w:hAnsi="黑体" w:eastAsia="黑体"/>
          <w:bCs/>
          <w:color w:val="000000"/>
        </w:rPr>
      </w:pPr>
      <w:r>
        <w:rPr>
          <w:rFonts w:hint="eastAsia" w:ascii="黑体" w:hAnsi="黑体" w:eastAsia="黑体"/>
          <w:bCs/>
          <w:color w:val="000000"/>
        </w:rPr>
        <w:t>根据甲方要求，有前瞻性的对各重要经济事项（项目）的经营模式、业务流程、管理内容等进行设计安排，规避税务风险，合法降低综合税负。包括但不限于以下方面：</w:t>
      </w:r>
    </w:p>
    <w:p>
      <w:pPr>
        <w:spacing w:line="360" w:lineRule="auto"/>
        <w:ind w:firstLine="440" w:firstLineChars="200"/>
        <w:rPr>
          <w:rFonts w:ascii="黑体" w:hAnsi="黑体" w:eastAsia="黑体"/>
          <w:bCs/>
          <w:color w:val="000000"/>
        </w:rPr>
      </w:pPr>
      <w:r>
        <w:rPr>
          <w:rFonts w:hint="eastAsia" w:ascii="黑体" w:hAnsi="黑体" w:eastAsia="黑体"/>
          <w:bCs/>
          <w:color w:val="000000"/>
        </w:rPr>
        <w:t>1、针对甲方综合开发顶层需求，设计方案并辅导落地实施，乙方会随时接受咨询并在三天内进行邮件、书面回复。</w:t>
      </w:r>
    </w:p>
    <w:p>
      <w:pPr>
        <w:spacing w:line="360" w:lineRule="auto"/>
        <w:ind w:firstLine="440" w:firstLineChars="200"/>
        <w:rPr>
          <w:rFonts w:ascii="黑体" w:hAnsi="黑体" w:eastAsia="黑体"/>
          <w:bCs/>
          <w:color w:val="000000"/>
        </w:rPr>
      </w:pPr>
      <w:r>
        <w:rPr>
          <w:rFonts w:hint="eastAsia" w:ascii="黑体" w:hAnsi="黑体" w:eastAsia="黑体"/>
          <w:bCs/>
          <w:color w:val="000000"/>
        </w:rPr>
        <w:t>2、针对甲方股权收构、资产收购、吸收合并、增资扩股等业务进行税收整体筹划，针对具体案例具体分析原则提供咨询，确保三天内进行回复。</w:t>
      </w:r>
    </w:p>
    <w:p>
      <w:pPr>
        <w:spacing w:line="360" w:lineRule="auto"/>
        <w:ind w:firstLine="440" w:firstLineChars="200"/>
        <w:rPr>
          <w:rFonts w:ascii="黑体" w:hAnsi="黑体" w:eastAsia="黑体"/>
          <w:bCs/>
          <w:color w:val="000000"/>
        </w:rPr>
      </w:pPr>
      <w:r>
        <w:rPr>
          <w:rFonts w:hint="eastAsia" w:ascii="黑体" w:hAnsi="黑体" w:eastAsia="黑体"/>
          <w:bCs/>
          <w:color w:val="000000"/>
        </w:rPr>
        <w:t>3、针对甲方组织架构以及平台公司的增设和甲方战略发展进行税收筹划。根据甲方实际发展情况，定期对甲方的组织构架进行检查，对存在的不合理或需要改进的地方及时向甲方提出，并出具报告。</w:t>
      </w:r>
    </w:p>
    <w:p>
      <w:pPr>
        <w:spacing w:line="360" w:lineRule="auto"/>
        <w:ind w:firstLine="440" w:firstLineChars="200"/>
        <w:rPr>
          <w:rFonts w:ascii="黑体" w:hAnsi="黑体" w:eastAsia="黑体"/>
          <w:bCs/>
          <w:color w:val="000000"/>
        </w:rPr>
      </w:pPr>
      <w:r>
        <w:rPr>
          <w:rFonts w:hint="eastAsia" w:ascii="黑体" w:hAnsi="黑体" w:eastAsia="黑体"/>
          <w:bCs/>
          <w:color w:val="000000"/>
        </w:rPr>
        <w:t>4、根据甲方实际经营情况，合理筹划甲方的资金流，以获得资金的最大利用价值。</w:t>
      </w:r>
    </w:p>
    <w:p>
      <w:pPr>
        <w:pStyle w:val="50"/>
        <w:ind w:firstLine="442"/>
        <w:rPr>
          <w:rFonts w:ascii="黑体" w:hAnsi="黑体" w:eastAsia="黑体" w:cs="楷体_GB2312"/>
          <w:b/>
        </w:rPr>
      </w:pPr>
      <w:r>
        <w:rPr>
          <w:rFonts w:hint="eastAsia" w:ascii="黑体" w:hAnsi="黑体" w:eastAsia="黑体" w:cs="楷体_GB2312"/>
          <w:b/>
        </w:rPr>
        <w:t>（二）参与重要经济合同涉税评审及检查</w:t>
      </w:r>
    </w:p>
    <w:p>
      <w:pPr>
        <w:spacing w:line="360" w:lineRule="auto"/>
        <w:ind w:firstLine="550" w:firstLineChars="250"/>
        <w:rPr>
          <w:rFonts w:ascii="黑体" w:hAnsi="黑体" w:eastAsia="黑体"/>
          <w:bCs/>
          <w:color w:val="000000"/>
        </w:rPr>
      </w:pPr>
      <w:r>
        <w:rPr>
          <w:rFonts w:hint="eastAsia" w:ascii="黑体" w:hAnsi="黑体" w:eastAsia="黑体"/>
          <w:bCs/>
          <w:color w:val="000000"/>
        </w:rPr>
        <w:t>1、根据甲方需求，针对甲方后期签定的重大合同进行财务税收审核，对超过100万以上的合同进行财税合同评审并出具税务意见（同类别的只审核其中一个合同），从源头规避税务风险，合法降低税负以确保决策中税务事项的科学性。</w:t>
      </w:r>
    </w:p>
    <w:p>
      <w:pPr>
        <w:spacing w:line="360" w:lineRule="auto"/>
        <w:ind w:firstLine="550" w:firstLineChars="250"/>
        <w:rPr>
          <w:rFonts w:ascii="黑体" w:hAnsi="黑体" w:eastAsia="黑体"/>
          <w:bCs/>
          <w:color w:val="000000"/>
        </w:rPr>
      </w:pPr>
      <w:r>
        <w:rPr>
          <w:rFonts w:hint="eastAsia" w:ascii="黑体" w:hAnsi="黑体" w:eastAsia="黑体"/>
          <w:bCs/>
          <w:color w:val="000000"/>
        </w:rPr>
        <w:t>2、随时接受财务对个别合同的咨询。</w:t>
      </w:r>
    </w:p>
    <w:p>
      <w:pPr>
        <w:spacing w:line="360" w:lineRule="auto"/>
        <w:ind w:firstLine="550" w:firstLineChars="250"/>
        <w:rPr>
          <w:rFonts w:ascii="黑体" w:hAnsi="黑体" w:eastAsia="黑体"/>
          <w:bCs/>
          <w:color w:val="000000"/>
        </w:rPr>
      </w:pPr>
      <w:r>
        <w:rPr>
          <w:rFonts w:hint="eastAsia" w:ascii="黑体" w:hAnsi="黑体" w:eastAsia="黑体"/>
          <w:bCs/>
          <w:color w:val="000000"/>
        </w:rPr>
        <w:t>3、加强对甲方签署合同的审查，对重大合同（超过100万的合同）抽查率达到50%及以上，小额合同抽查率达到10%。</w:t>
      </w:r>
    </w:p>
    <w:p>
      <w:pPr>
        <w:spacing w:line="360" w:lineRule="auto"/>
        <w:ind w:firstLine="440" w:firstLineChars="200"/>
        <w:rPr>
          <w:rFonts w:ascii="黑体" w:hAnsi="黑体" w:eastAsia="黑体"/>
          <w:bCs/>
          <w:color w:val="000000"/>
        </w:rPr>
      </w:pPr>
      <w:r>
        <w:rPr>
          <w:rFonts w:hint="eastAsia" w:ascii="黑体" w:hAnsi="黑体" w:eastAsia="黑体"/>
          <w:bCs/>
          <w:color w:val="000000"/>
        </w:rPr>
        <w:t>4、针对甲方前期已发生的各项重大经济合同（超过100万的合同）进行税务审核，并出具意见、建议报告。</w:t>
      </w:r>
    </w:p>
    <w:p>
      <w:pPr>
        <w:pStyle w:val="50"/>
        <w:ind w:firstLine="442"/>
        <w:rPr>
          <w:rFonts w:ascii="黑体" w:hAnsi="黑体" w:eastAsia="黑体" w:cs="楷体_GB2312"/>
          <w:b/>
        </w:rPr>
      </w:pPr>
      <w:r>
        <w:rPr>
          <w:rFonts w:hint="eastAsia" w:ascii="黑体" w:hAnsi="黑体" w:eastAsia="黑体" w:cs="楷体_GB2312"/>
          <w:b/>
        </w:rPr>
        <w:t>（三）日常财税答疑及提供解决办法</w:t>
      </w:r>
    </w:p>
    <w:p>
      <w:pPr>
        <w:spacing w:line="360" w:lineRule="auto"/>
        <w:ind w:firstLine="550" w:firstLineChars="250"/>
        <w:rPr>
          <w:rFonts w:ascii="黑体" w:hAnsi="黑体" w:eastAsia="黑体"/>
          <w:bCs/>
          <w:color w:val="000000"/>
        </w:rPr>
      </w:pPr>
      <w:r>
        <w:rPr>
          <w:rFonts w:hint="eastAsia" w:ascii="黑体" w:hAnsi="黑体" w:eastAsia="黑体"/>
          <w:bCs/>
          <w:color w:val="000000"/>
        </w:rPr>
        <w:t>乙方将根据甲方的业务发展需求，每季度走访并记录随访录，提供税收法律、法规和政策方面的咨询，纳税申报操作环节、会计处理及具体方法的咨询；同时对提出的税收政策方面的疑难问题进行解答。</w:t>
      </w:r>
    </w:p>
    <w:p>
      <w:pPr>
        <w:spacing w:line="360" w:lineRule="auto"/>
        <w:ind w:firstLine="440" w:firstLineChars="200"/>
        <w:rPr>
          <w:rFonts w:ascii="黑体" w:hAnsi="黑体" w:eastAsia="黑体"/>
          <w:bCs/>
          <w:color w:val="000000"/>
        </w:rPr>
      </w:pPr>
      <w:r>
        <w:rPr>
          <w:rFonts w:hint="eastAsia" w:ascii="黑体" w:hAnsi="黑体" w:eastAsia="黑体"/>
          <w:bCs/>
          <w:color w:val="000000"/>
        </w:rPr>
        <w:t>乙方接受委托后，将根据甲方经营业务性质，分析各税种可能存在的风险，重点解决存在的涉税事项，做好行业疑难问题解答，为企业相关税收优惠政策享用提供充分的法律法规依据，同时在征收管理环节为企业提供最准确的专业知识。</w:t>
      </w:r>
    </w:p>
    <w:p>
      <w:pPr>
        <w:spacing w:line="360" w:lineRule="auto"/>
        <w:ind w:firstLine="550" w:firstLineChars="250"/>
        <w:rPr>
          <w:rFonts w:ascii="黑体" w:hAnsi="黑体" w:eastAsia="黑体"/>
          <w:bCs/>
          <w:color w:val="000000"/>
        </w:rPr>
      </w:pPr>
      <w:r>
        <w:rPr>
          <w:rFonts w:hint="eastAsia" w:ascii="黑体" w:hAnsi="黑体" w:eastAsia="黑体"/>
          <w:bCs/>
          <w:color w:val="000000"/>
        </w:rPr>
        <w:t>日常涉税解答对象包含甲方相关财务人员以及部分业务人员。通过电话、QQ、邮件等形式解答甲方相关人员日常工作中遇到的财税问题。甲方相关人员可随时向我方电话咨询有关涉税问题，对于特殊情况也可到甲方指定的地点提供服务。</w:t>
      </w:r>
    </w:p>
    <w:p>
      <w:pPr>
        <w:pStyle w:val="50"/>
        <w:ind w:firstLine="442"/>
        <w:rPr>
          <w:rFonts w:ascii="黑体" w:hAnsi="黑体" w:eastAsia="黑体" w:cs="楷体_GB2312"/>
          <w:b/>
        </w:rPr>
      </w:pPr>
      <w:r>
        <w:rPr>
          <w:rFonts w:hint="eastAsia" w:ascii="黑体" w:hAnsi="黑体" w:eastAsia="黑体" w:cs="楷体_GB2312"/>
          <w:b/>
        </w:rPr>
        <w:t>（四）新政策解读与分享</w:t>
      </w:r>
    </w:p>
    <w:p>
      <w:pPr>
        <w:spacing w:line="360" w:lineRule="auto"/>
        <w:ind w:firstLine="550" w:firstLineChars="250"/>
        <w:rPr>
          <w:rFonts w:ascii="黑体" w:hAnsi="黑体" w:eastAsia="黑体"/>
          <w:bCs/>
          <w:color w:val="000000"/>
        </w:rPr>
      </w:pPr>
      <w:r>
        <w:rPr>
          <w:rFonts w:hint="eastAsia" w:ascii="黑体" w:hAnsi="黑体" w:eastAsia="黑体"/>
          <w:bCs/>
          <w:color w:val="000000"/>
        </w:rPr>
        <w:t>随时向甲方传递各级财税部门出台的最新政策以及专家团队的解读，对特定政策文件进行解释。根据甲方经营范围，分析年度经济收入类型、性质，运用增值税、所得税等税收优惠政策，为甲方提供比较精准的税收优惠政策建议。</w:t>
      </w:r>
    </w:p>
    <w:p>
      <w:pPr>
        <w:pStyle w:val="50"/>
        <w:ind w:firstLine="442"/>
        <w:rPr>
          <w:rFonts w:ascii="黑体" w:hAnsi="黑体" w:eastAsia="黑体" w:cs="楷体_GB2312"/>
          <w:b/>
        </w:rPr>
      </w:pPr>
      <w:r>
        <w:rPr>
          <w:rFonts w:hint="eastAsia" w:ascii="黑体" w:hAnsi="黑体" w:eastAsia="黑体" w:cs="楷体_GB2312"/>
          <w:b/>
        </w:rPr>
        <w:t>（五）纳税遵从日常健康体检及特别事项专门检查</w:t>
      </w:r>
    </w:p>
    <w:p>
      <w:pPr>
        <w:spacing w:line="360" w:lineRule="auto"/>
        <w:ind w:firstLine="440" w:firstLineChars="200"/>
        <w:rPr>
          <w:rFonts w:ascii="黑体" w:hAnsi="黑体" w:eastAsia="黑体"/>
          <w:bCs/>
          <w:color w:val="000000"/>
        </w:rPr>
      </w:pPr>
      <w:r>
        <w:rPr>
          <w:rFonts w:hint="eastAsia" w:ascii="黑体" w:hAnsi="黑体" w:eastAsia="黑体"/>
          <w:bCs/>
          <w:color w:val="000000"/>
        </w:rPr>
        <w:t>1、协助甲方开展税收专项自查工作，并对税务自查评估过程中发现的问题提供解决方案，确保甲方的税务操作合规合法，最大限度的规避税务风险。</w:t>
      </w:r>
    </w:p>
    <w:p>
      <w:pPr>
        <w:spacing w:line="360" w:lineRule="auto"/>
        <w:ind w:firstLine="440" w:firstLineChars="200"/>
        <w:rPr>
          <w:rFonts w:ascii="黑体" w:hAnsi="黑体" w:eastAsia="黑体"/>
          <w:bCs/>
          <w:color w:val="000000"/>
        </w:rPr>
      </w:pPr>
      <w:r>
        <w:rPr>
          <w:rFonts w:hint="eastAsia" w:ascii="黑体" w:hAnsi="黑体" w:eastAsia="黑体"/>
          <w:bCs/>
          <w:color w:val="000000"/>
        </w:rPr>
        <w:t>2、对会计核算方式、财务处理提供咨询服务。每次对甲方财务凭证进行不少于</w:t>
      </w:r>
      <w:r>
        <w:rPr>
          <w:rFonts w:ascii="黑体" w:hAnsi="黑体" w:eastAsia="黑体"/>
          <w:bCs/>
          <w:color w:val="000000"/>
        </w:rPr>
        <w:t>50</w:t>
      </w:r>
      <w:r>
        <w:rPr>
          <w:rFonts w:hint="eastAsia" w:ascii="黑体" w:hAnsi="黑体" w:eastAsia="黑体"/>
          <w:bCs/>
          <w:color w:val="000000"/>
        </w:rPr>
        <w:t>%的抽查，根据企业会计准则以及税收相关规定，对甲方财务凭证以及税收账务处理存在的问题及时提出整改建议，并指导甲方进行改进，对改进效果予以跟踪，形成闭环监控管理，从而逐步规范相关财税工作。</w:t>
      </w:r>
    </w:p>
    <w:p>
      <w:pPr>
        <w:spacing w:line="360" w:lineRule="auto"/>
        <w:ind w:firstLine="552" w:firstLineChars="250"/>
        <w:rPr>
          <w:rFonts w:ascii="黑体" w:hAnsi="黑体" w:eastAsia="黑体" w:cs="楷体_GB2312"/>
          <w:b/>
        </w:rPr>
      </w:pPr>
      <w:r>
        <w:rPr>
          <w:rFonts w:hint="eastAsia" w:ascii="黑体" w:hAnsi="黑体" w:eastAsia="黑体" w:cs="楷体_GB2312"/>
          <w:b/>
        </w:rPr>
        <w:t>（六）协助甲方与税务部门的交流、沟通</w:t>
      </w:r>
    </w:p>
    <w:p>
      <w:pPr>
        <w:spacing w:line="360" w:lineRule="auto"/>
        <w:ind w:firstLine="480"/>
        <w:rPr>
          <w:rFonts w:ascii="黑体" w:hAnsi="黑体" w:eastAsia="黑体"/>
          <w:bCs/>
          <w:color w:val="000000"/>
        </w:rPr>
      </w:pPr>
      <w:r>
        <w:rPr>
          <w:rFonts w:hint="eastAsia" w:ascii="黑体" w:hAnsi="黑体" w:eastAsia="黑体"/>
          <w:bCs/>
          <w:color w:val="000000"/>
        </w:rPr>
        <w:t>针对甲方遇到的疑难问题，如增值税纳税义务时间、统借统还等问题，利用乙方良好的沟通渠道，争取取得更有利于甲方的政策支持，以达到及时准确纳税之目的，规避涉税风险。</w:t>
      </w:r>
    </w:p>
    <w:p>
      <w:pPr>
        <w:spacing w:line="360" w:lineRule="auto"/>
        <w:ind w:firstLine="552" w:firstLineChars="250"/>
        <w:rPr>
          <w:rFonts w:ascii="黑体" w:hAnsi="黑体" w:eastAsia="黑体" w:cs="楷体_GB2312"/>
          <w:b/>
        </w:rPr>
      </w:pPr>
      <w:r>
        <w:rPr>
          <w:rFonts w:hint="eastAsia" w:ascii="黑体" w:hAnsi="黑体" w:eastAsia="黑体" w:cs="楷体_GB2312"/>
          <w:b/>
        </w:rPr>
        <w:t>（七）协助甲方与政府相关部门的交流、沟通</w:t>
      </w:r>
    </w:p>
    <w:p>
      <w:pPr>
        <w:spacing w:line="360" w:lineRule="auto"/>
        <w:ind w:firstLine="480"/>
        <w:rPr>
          <w:rFonts w:hint="eastAsia" w:ascii="黑体" w:hAnsi="黑体" w:eastAsia="黑体"/>
          <w:bCs/>
          <w:color w:val="000000"/>
        </w:rPr>
      </w:pPr>
      <w:r>
        <w:rPr>
          <w:rFonts w:hint="eastAsia" w:ascii="黑体" w:hAnsi="黑体" w:eastAsia="黑体"/>
          <w:bCs/>
          <w:color w:val="000000"/>
        </w:rPr>
        <w:t>根据甲方的经营规模与业绩，协助甲方与政府相关部门沟通交流，及时全方位享受到政府给予企业的各种奖励和政策支持。</w:t>
      </w:r>
    </w:p>
    <w:p>
      <w:pPr>
        <w:spacing w:line="360" w:lineRule="auto"/>
        <w:ind w:firstLine="552" w:firstLineChars="250"/>
        <w:rPr>
          <w:rFonts w:hint="eastAsia" w:ascii="黑体" w:hAnsi="黑体" w:eastAsia="黑体" w:cs="楷体_GB2312"/>
          <w:b/>
          <w:lang w:val="en-US" w:eastAsia="zh-CN"/>
        </w:rPr>
      </w:pPr>
      <w:r>
        <w:rPr>
          <w:rFonts w:hint="eastAsia" w:ascii="黑体" w:hAnsi="黑体" w:eastAsia="黑体" w:cs="楷体_GB2312"/>
          <w:b/>
          <w:lang w:val="en-US" w:eastAsia="zh-CN"/>
        </w:rPr>
        <w:t>(八）税务档案整理</w:t>
      </w:r>
    </w:p>
    <w:p>
      <w:pPr>
        <w:pStyle w:val="4"/>
        <w:ind w:firstLine="440" w:firstLineChars="200"/>
        <w:rPr>
          <w:rFonts w:hint="eastAsia" w:ascii="黑体" w:hAnsi="黑体" w:eastAsia="黑体" w:cstheme="minorBidi"/>
          <w:bCs/>
          <w:color w:val="000000"/>
          <w:sz w:val="22"/>
          <w:szCs w:val="22"/>
          <w:lang w:val="en-US" w:eastAsia="zh-CN" w:bidi="ar-SA"/>
        </w:rPr>
      </w:pPr>
      <w:r>
        <w:rPr>
          <w:rFonts w:hint="default" w:ascii="黑体" w:hAnsi="黑体" w:eastAsia="黑体" w:cstheme="minorBidi"/>
          <w:bCs/>
          <w:color w:val="000000"/>
          <w:sz w:val="22"/>
          <w:szCs w:val="22"/>
          <w:lang w:val="en-US" w:eastAsia="zh-CN" w:bidi="ar-SA"/>
        </w:rPr>
        <w:t>协助甲方</w:t>
      </w:r>
      <w:r>
        <w:rPr>
          <w:rFonts w:hint="eastAsia" w:ascii="黑体" w:hAnsi="黑体" w:eastAsia="黑体" w:cstheme="minorBidi"/>
          <w:bCs/>
          <w:color w:val="000000"/>
          <w:sz w:val="22"/>
          <w:szCs w:val="22"/>
          <w:lang w:val="en-US" w:eastAsia="zh-CN" w:bidi="ar-SA"/>
        </w:rPr>
        <w:t>出台税务档案管理相关制度办法、协助甲方集团本部及所属企业建立税务档案管理、协助甲方集团本部整理税务资料，形成税务相关档案。</w:t>
      </w:r>
    </w:p>
    <w:p>
      <w:pPr>
        <w:spacing w:line="360" w:lineRule="auto"/>
        <w:ind w:firstLine="552" w:firstLineChars="250"/>
        <w:rPr>
          <w:rFonts w:hint="eastAsia" w:ascii="黑体" w:hAnsi="黑体" w:eastAsia="黑体" w:cs="楷体_GB2312"/>
          <w:b/>
          <w:lang w:val="en-US" w:eastAsia="zh-CN"/>
        </w:rPr>
      </w:pPr>
      <w:r>
        <w:rPr>
          <w:rFonts w:hint="eastAsia" w:ascii="黑体" w:hAnsi="黑体" w:eastAsia="黑体" w:cs="楷体_GB2312"/>
          <w:b/>
          <w:lang w:val="en-US" w:eastAsia="zh-CN"/>
        </w:rPr>
        <w:t>（九）所得税汇算清缴</w:t>
      </w:r>
    </w:p>
    <w:p>
      <w:pPr>
        <w:spacing w:after="0" w:line="500" w:lineRule="exact"/>
        <w:ind w:firstLine="440" w:firstLineChars="200"/>
        <w:jc w:val="both"/>
        <w:rPr>
          <w:rFonts w:hint="eastAsia" w:ascii="黑体" w:hAnsi="黑体" w:eastAsia="黑体" w:cstheme="minorBidi"/>
          <w:bCs/>
          <w:color w:val="000000"/>
          <w:sz w:val="22"/>
          <w:szCs w:val="22"/>
          <w:lang w:val="en-US" w:eastAsia="zh-CN" w:bidi="ar-SA"/>
        </w:rPr>
      </w:pPr>
      <w:r>
        <w:rPr>
          <w:rFonts w:hint="eastAsia" w:ascii="黑体" w:hAnsi="黑体" w:eastAsia="黑体" w:cstheme="minorBidi"/>
          <w:bCs/>
          <w:color w:val="000000"/>
          <w:sz w:val="22"/>
          <w:szCs w:val="22"/>
          <w:lang w:val="en-US" w:eastAsia="zh-CN" w:bidi="ar-SA"/>
        </w:rPr>
        <w:t>审核甲方的会计凭证、会计账务、审计报告、重要合同等全部纳税申报资料，依据企业所得税法相关规定，对甲方年度企业所得税汇算清缴出具审核报告，协助铁路物流公司和合资铁路成自公司企业所得税汇算清缴。</w:t>
      </w:r>
    </w:p>
    <w:p/>
    <w:p>
      <w:pPr>
        <w:pStyle w:val="50"/>
        <w:ind w:firstLine="442"/>
        <w:rPr>
          <w:rFonts w:ascii="黑体" w:hAnsi="黑体" w:eastAsia="黑体" w:cs="楷体_GB2312"/>
          <w:b/>
        </w:rPr>
      </w:pPr>
      <w:r>
        <w:rPr>
          <w:rFonts w:hint="eastAsia" w:ascii="黑体" w:hAnsi="黑体" w:eastAsia="黑体" w:cs="楷体_GB2312"/>
          <w:b/>
        </w:rPr>
        <w:t>三  服务方式</w:t>
      </w:r>
    </w:p>
    <w:p>
      <w:pPr>
        <w:pStyle w:val="50"/>
        <w:ind w:firstLine="440"/>
        <w:rPr>
          <w:rFonts w:ascii="黑体" w:hAnsi="黑体" w:eastAsia="黑体" w:cs="楷体_GB2312"/>
        </w:rPr>
      </w:pPr>
      <w:r>
        <w:rPr>
          <w:rFonts w:eastAsia="黑体" w:cs="楷体_GB2312" w:asciiTheme="majorEastAsia" w:hAnsiTheme="majorEastAsia"/>
        </w:rPr>
        <w:t> </w:t>
      </w:r>
      <w:r>
        <w:rPr>
          <w:rFonts w:hint="eastAsia" w:ascii="黑体" w:hAnsi="黑体" w:eastAsia="黑体" w:cs="楷体_GB2312"/>
        </w:rPr>
        <w:t>根据以上服务范围，乙方税务顾问服务原则上采取“随时电话联系”与“定期实地查核”相结合的工作方式，具体为：</w:t>
      </w:r>
    </w:p>
    <w:p>
      <w:pPr>
        <w:pStyle w:val="50"/>
        <w:ind w:firstLine="440"/>
        <w:rPr>
          <w:rFonts w:ascii="黑体" w:hAnsi="黑体" w:eastAsia="黑体" w:cs="楷体_GB2312"/>
        </w:rPr>
      </w:pPr>
      <w:r>
        <w:rPr>
          <w:rFonts w:ascii="黑体" w:hAnsi="黑体" w:eastAsia="黑体" w:cs="楷体_GB2312"/>
        </w:rPr>
        <w:t>1</w:t>
      </w:r>
      <w:r>
        <w:rPr>
          <w:rFonts w:hint="eastAsia" w:ascii="黑体" w:hAnsi="黑体" w:eastAsia="黑体" w:cs="楷体_GB2312"/>
        </w:rPr>
        <w:t>、安排服务团队：乙方在协议签订后，根据甲方服务要求及相关情况成立服务团队，并指定专门的客户经理负责日常联系和组织服务实施；</w:t>
      </w:r>
    </w:p>
    <w:p>
      <w:pPr>
        <w:pStyle w:val="50"/>
        <w:ind w:firstLine="440"/>
        <w:rPr>
          <w:rFonts w:ascii="黑体" w:hAnsi="黑体" w:eastAsia="黑体" w:cs="楷体_GB2312"/>
        </w:rPr>
      </w:pPr>
      <w:r>
        <w:rPr>
          <w:rFonts w:ascii="黑体" w:hAnsi="黑体" w:eastAsia="黑体" w:cs="楷体_GB2312"/>
        </w:rPr>
        <w:t>2</w:t>
      </w:r>
      <w:r>
        <w:rPr>
          <w:rFonts w:hint="eastAsia" w:ascii="黑体" w:hAnsi="黑体" w:eastAsia="黑体" w:cs="楷体_GB2312"/>
        </w:rPr>
        <w:t>、制定服务计划：乙方进行首次服务时应与甲方进行充分沟通，在本协议原则内，根据甲方的需求落实服务期间内具体服务内容，制定相应的服务计划并实施。</w:t>
      </w:r>
    </w:p>
    <w:p>
      <w:pPr>
        <w:pStyle w:val="50"/>
        <w:ind w:firstLine="440"/>
        <w:rPr>
          <w:rFonts w:ascii="黑体" w:hAnsi="黑体" w:eastAsia="黑体" w:cs="楷体_GB2312"/>
        </w:rPr>
      </w:pPr>
      <w:r>
        <w:rPr>
          <w:rFonts w:ascii="黑体" w:hAnsi="黑体" w:eastAsia="黑体" w:cs="楷体_GB2312"/>
        </w:rPr>
        <w:t>3</w:t>
      </w:r>
      <w:r>
        <w:rPr>
          <w:rFonts w:hint="eastAsia" w:ascii="黑体" w:hAnsi="黑体" w:eastAsia="黑体" w:cs="楷体_GB2312"/>
        </w:rPr>
        <w:t>、政策信息传递：乙方以短信、网络等灵活的方式为甲方及时传递相关财税政策信息，按甲方提供相关接收信息的相关人员的手机号、邮箱发送相关信息。</w:t>
      </w:r>
    </w:p>
    <w:p>
      <w:pPr>
        <w:pStyle w:val="50"/>
        <w:ind w:firstLine="440"/>
        <w:rPr>
          <w:rFonts w:ascii="黑体" w:hAnsi="黑体" w:eastAsia="黑体" w:cs="楷体_GB2312"/>
        </w:rPr>
      </w:pPr>
      <w:r>
        <w:rPr>
          <w:rFonts w:ascii="黑体" w:hAnsi="黑体" w:eastAsia="黑体" w:cs="楷体_GB2312"/>
        </w:rPr>
        <w:t>4</w:t>
      </w:r>
      <w:r>
        <w:rPr>
          <w:rFonts w:hint="eastAsia" w:ascii="黑体" w:hAnsi="黑体" w:eastAsia="黑体" w:cs="楷体_GB2312"/>
        </w:rPr>
        <w:t>、电话交流咨询：甲方可随时就相关涉税事项向乙方服务人员进行电话咨询，根据问题的难易程度可向乙方包括合伙人、部门负责人、项目经理等人员进行电话沟通，对重要涉税事项乙方服务人员应作电话记录。</w:t>
      </w:r>
    </w:p>
    <w:p>
      <w:pPr>
        <w:pStyle w:val="50"/>
        <w:ind w:firstLine="440"/>
        <w:rPr>
          <w:rFonts w:ascii="黑体" w:hAnsi="黑体" w:eastAsia="黑体" w:cs="楷体_GB2312"/>
        </w:rPr>
      </w:pPr>
      <w:r>
        <w:rPr>
          <w:rFonts w:ascii="黑体" w:hAnsi="黑体" w:eastAsia="黑体" w:cs="楷体_GB2312"/>
        </w:rPr>
        <w:t>5</w:t>
      </w:r>
      <w:r>
        <w:rPr>
          <w:rFonts w:hint="eastAsia" w:ascii="黑体" w:hAnsi="黑体" w:eastAsia="黑体" w:cs="楷体_GB2312"/>
        </w:rPr>
        <w:t>、现场服务安排：乙方根据计划安排每次主动上门服务前应与甲方预约和沟通，甲方也可根据涉税事项需要，要求乙方上门服务或到乙方处咨询，但应提前通知乙方，以便合理安排人员和时间。现场服务主要实施专门事项咨询及纳税审核等服务内容。</w:t>
      </w:r>
    </w:p>
    <w:p>
      <w:pPr>
        <w:pStyle w:val="50"/>
        <w:ind w:firstLine="440"/>
        <w:rPr>
          <w:rFonts w:ascii="黑体" w:hAnsi="黑体" w:eastAsia="黑体" w:cs="楷体_GB2312"/>
        </w:rPr>
      </w:pPr>
      <w:r>
        <w:rPr>
          <w:rFonts w:ascii="黑体" w:hAnsi="黑体" w:eastAsia="黑体" w:cs="楷体_GB2312"/>
        </w:rPr>
        <w:t>6</w:t>
      </w:r>
      <w:r>
        <w:rPr>
          <w:rFonts w:hint="eastAsia" w:ascii="黑体" w:hAnsi="黑体" w:eastAsia="黑体" w:cs="楷体_GB2312"/>
        </w:rPr>
        <w:t>、服务质量监督：在服务期间内，甲方可对乙方的服务质量及方式提出建议和意见，乙方管理层应定期与甲方进行沟通交流，征求服务意见，并及时对甲方意见进行落实反馈。</w:t>
      </w:r>
    </w:p>
    <w:p>
      <w:pPr>
        <w:pStyle w:val="50"/>
        <w:ind w:firstLine="442"/>
        <w:rPr>
          <w:rFonts w:ascii="黑体" w:hAnsi="黑体" w:eastAsia="黑体" w:cs="楷体_GB2312"/>
          <w:b/>
        </w:rPr>
      </w:pPr>
      <w:r>
        <w:rPr>
          <w:rFonts w:hint="eastAsia" w:ascii="黑体" w:hAnsi="黑体" w:eastAsia="黑体" w:cs="楷体_GB2312"/>
          <w:b/>
        </w:rPr>
        <w:t>四、甲方的责任与义务</w:t>
      </w:r>
    </w:p>
    <w:p>
      <w:pPr>
        <w:pStyle w:val="50"/>
        <w:ind w:firstLine="440"/>
        <w:rPr>
          <w:rFonts w:ascii="黑体" w:hAnsi="黑体" w:eastAsia="黑体" w:cs="楷体_GB2312"/>
        </w:rPr>
      </w:pPr>
      <w:r>
        <w:rPr>
          <w:rFonts w:ascii="黑体" w:hAnsi="黑体" w:eastAsia="黑体" w:cs="楷体_GB2312"/>
        </w:rPr>
        <w:t>1</w:t>
      </w:r>
      <w:r>
        <w:rPr>
          <w:rFonts w:hint="eastAsia" w:ascii="黑体" w:hAnsi="黑体" w:eastAsia="黑体" w:cs="楷体_GB2312"/>
        </w:rPr>
        <w:t>、甲方应及时、真实、详尽地向乙方提供与乙方服务事项有关的全部文件及背景材料</w:t>
      </w:r>
      <w:r>
        <w:rPr>
          <w:rFonts w:ascii="黑体" w:hAnsi="黑体" w:eastAsia="黑体"/>
          <w:color w:val="222222"/>
          <w:shd w:val="clear" w:color="auto" w:fill="FFFFFF"/>
        </w:rPr>
        <w:t>并对其真实性、合法性、完整性负责</w:t>
      </w:r>
      <w:r>
        <w:rPr>
          <w:rFonts w:hint="eastAsia" w:ascii="黑体" w:hAnsi="黑体" w:eastAsia="黑体"/>
          <w:color w:val="222222"/>
          <w:shd w:val="clear" w:color="auto" w:fill="FFFFFF"/>
        </w:rPr>
        <w:t>；</w:t>
      </w:r>
      <w:r>
        <w:rPr>
          <w:rFonts w:hint="eastAsia" w:ascii="黑体" w:hAnsi="黑体" w:eastAsia="黑体" w:cs="楷体_GB2312"/>
        </w:rPr>
        <w:t>对乙方服务人员所需查阅的相关文件材料及提出询问的相关事项，甲方应及时提供与回答。</w:t>
      </w:r>
      <w:r>
        <w:rPr>
          <w:rFonts w:ascii="黑体" w:hAnsi="黑体" w:eastAsia="黑体"/>
          <w:color w:val="222222"/>
          <w:shd w:val="clear" w:color="auto" w:fill="FFFFFF"/>
        </w:rPr>
        <w:t>如因甲方提供的涉税资料失实，造成代理结果错误的，乙方不负赔偿责任。</w:t>
      </w:r>
    </w:p>
    <w:p>
      <w:pPr>
        <w:pStyle w:val="50"/>
        <w:ind w:firstLine="440"/>
        <w:rPr>
          <w:rFonts w:ascii="黑体" w:hAnsi="黑体" w:eastAsia="黑体" w:cs="楷体_GB2312"/>
        </w:rPr>
      </w:pPr>
      <w:r>
        <w:rPr>
          <w:rFonts w:ascii="黑体" w:hAnsi="黑体" w:eastAsia="黑体" w:cs="楷体_GB2312"/>
        </w:rPr>
        <w:t>2</w:t>
      </w:r>
      <w:r>
        <w:rPr>
          <w:rFonts w:hint="eastAsia" w:ascii="黑体" w:hAnsi="黑体" w:eastAsia="黑体" w:cs="楷体_GB2312"/>
        </w:rPr>
        <w:t>、甲方应积极主动地配合乙方服务人员为甲方涉税事项从事的各项工作，并根据实际情况为乙方工作人员提供必要的工作条件及其他便利。</w:t>
      </w:r>
    </w:p>
    <w:p>
      <w:pPr>
        <w:pStyle w:val="50"/>
        <w:ind w:firstLine="440"/>
        <w:rPr>
          <w:rFonts w:ascii="黑体" w:hAnsi="黑体" w:eastAsia="黑体" w:cs="楷体_GB2312"/>
        </w:rPr>
      </w:pPr>
      <w:r>
        <w:rPr>
          <w:rFonts w:ascii="黑体" w:hAnsi="黑体" w:eastAsia="黑体" w:cs="楷体_GB2312"/>
        </w:rPr>
        <w:t>3</w:t>
      </w:r>
      <w:r>
        <w:rPr>
          <w:rFonts w:hint="eastAsia" w:ascii="黑体" w:hAnsi="黑体" w:eastAsia="黑体" w:cs="楷体_GB2312"/>
        </w:rPr>
        <w:t>、甲方对乙方提供的服务建议采纳与否应自行做出决策，甲方不得要求乙方提供违反法律、法规及相关政策规定服务。</w:t>
      </w:r>
    </w:p>
    <w:p>
      <w:pPr>
        <w:pStyle w:val="50"/>
        <w:ind w:firstLine="440"/>
        <w:rPr>
          <w:rFonts w:ascii="黑体" w:hAnsi="黑体" w:eastAsia="黑体" w:cs="楷体_GB2312"/>
        </w:rPr>
      </w:pPr>
      <w:r>
        <w:rPr>
          <w:rFonts w:ascii="黑体" w:hAnsi="黑体" w:eastAsia="黑体" w:cs="楷体_GB2312"/>
        </w:rPr>
        <w:t>4</w:t>
      </w:r>
      <w:r>
        <w:rPr>
          <w:rFonts w:hint="eastAsia" w:ascii="黑体" w:hAnsi="黑体" w:eastAsia="黑体" w:cs="楷体_GB2312"/>
        </w:rPr>
        <w:t>、按本协议书约定及时足额向乙方支付顾问服务费用。</w:t>
      </w:r>
    </w:p>
    <w:p>
      <w:pPr>
        <w:pStyle w:val="50"/>
        <w:ind w:firstLine="442"/>
        <w:rPr>
          <w:rFonts w:ascii="黑体" w:hAnsi="黑体" w:eastAsia="黑体" w:cs="楷体_GB2312"/>
          <w:b/>
        </w:rPr>
      </w:pPr>
      <w:r>
        <w:rPr>
          <w:rFonts w:hint="eastAsia" w:ascii="黑体" w:hAnsi="黑体" w:eastAsia="黑体" w:cs="楷体_GB2312"/>
          <w:b/>
        </w:rPr>
        <w:t>五、乙方的责任和义务</w:t>
      </w:r>
    </w:p>
    <w:p>
      <w:pPr>
        <w:pStyle w:val="50"/>
        <w:ind w:firstLine="440"/>
        <w:rPr>
          <w:rFonts w:ascii="黑体" w:hAnsi="黑体" w:eastAsia="黑体" w:cs="楷体_GB2312"/>
        </w:rPr>
      </w:pPr>
      <w:r>
        <w:rPr>
          <w:rFonts w:ascii="黑体" w:hAnsi="黑体" w:eastAsia="黑体" w:cs="楷体_GB2312"/>
        </w:rPr>
        <w:t>1</w:t>
      </w:r>
      <w:r>
        <w:rPr>
          <w:rFonts w:hint="eastAsia" w:ascii="黑体" w:hAnsi="黑体" w:eastAsia="黑体" w:cs="楷体_GB2312"/>
        </w:rPr>
        <w:t>、乙方在签订协议后，按协议约定的甲方需求，合理安排服务团队及人员按服务计划为甲方提供税务服务。</w:t>
      </w:r>
    </w:p>
    <w:p>
      <w:pPr>
        <w:pStyle w:val="50"/>
        <w:ind w:firstLine="440"/>
        <w:rPr>
          <w:rFonts w:ascii="黑体" w:hAnsi="黑体" w:eastAsia="黑体" w:cs="楷体_GB2312"/>
        </w:rPr>
      </w:pPr>
      <w:r>
        <w:rPr>
          <w:rFonts w:ascii="黑体" w:hAnsi="黑体" w:eastAsia="黑体" w:cs="楷体_GB2312"/>
        </w:rPr>
        <w:t>2</w:t>
      </w:r>
      <w:r>
        <w:rPr>
          <w:rFonts w:hint="eastAsia" w:ascii="黑体" w:hAnsi="黑体" w:eastAsia="黑体" w:cs="楷体_GB2312"/>
        </w:rPr>
        <w:t>、乙方服务人员应当依据财税法规和专业知识独立、客观、公正地提供服务，同时尽最大努力维护甲方合法利益。乙方有权拒绝甲方提出的违反法律、法规及相关政策规定的要求。</w:t>
      </w:r>
    </w:p>
    <w:p>
      <w:pPr>
        <w:pStyle w:val="50"/>
        <w:ind w:firstLine="440"/>
        <w:rPr>
          <w:rFonts w:ascii="黑体" w:hAnsi="黑体" w:eastAsia="黑体" w:cs="楷体_GB2312"/>
        </w:rPr>
      </w:pPr>
      <w:r>
        <w:rPr>
          <w:rFonts w:ascii="黑体" w:hAnsi="黑体" w:eastAsia="黑体" w:cs="楷体_GB2312"/>
        </w:rPr>
        <w:t>3</w:t>
      </w:r>
      <w:r>
        <w:rPr>
          <w:rFonts w:hint="eastAsia" w:ascii="黑体" w:hAnsi="黑体" w:eastAsia="黑体" w:cs="楷体_GB2312"/>
        </w:rPr>
        <w:t>、乙方应遵守职业道德，严守甲方生产经营及财产等商业秘密，不得向外泄露，该保密义务应当不受时间限制而持续有效。</w:t>
      </w:r>
    </w:p>
    <w:p>
      <w:pPr>
        <w:pStyle w:val="50"/>
        <w:ind w:firstLine="440"/>
        <w:rPr>
          <w:rFonts w:ascii="黑体" w:hAnsi="黑体" w:eastAsia="黑体" w:cs="楷体_GB2312"/>
        </w:rPr>
      </w:pPr>
      <w:r>
        <w:rPr>
          <w:rFonts w:ascii="黑体" w:hAnsi="黑体" w:eastAsia="黑体" w:cs="楷体_GB2312"/>
        </w:rPr>
        <w:t>4</w:t>
      </w:r>
      <w:r>
        <w:rPr>
          <w:rFonts w:hint="eastAsia" w:ascii="黑体" w:hAnsi="黑体" w:eastAsia="黑体" w:cs="楷体_GB2312"/>
        </w:rPr>
        <w:t>、乙方对本协议服务内容应当保存完整的工作记录，对涉及甲方的原始证据、相关文件资料应当妥善保管归档。</w:t>
      </w:r>
    </w:p>
    <w:p>
      <w:pPr>
        <w:pStyle w:val="50"/>
        <w:ind w:firstLine="442"/>
        <w:rPr>
          <w:rFonts w:ascii="黑体" w:hAnsi="黑体" w:eastAsia="黑体" w:cs="楷体_GB2312"/>
          <w:b/>
        </w:rPr>
      </w:pPr>
      <w:r>
        <w:rPr>
          <w:rFonts w:hint="eastAsia" w:ascii="黑体" w:hAnsi="黑体" w:eastAsia="黑体" w:cs="楷体_GB2312"/>
          <w:b/>
        </w:rPr>
        <w:t>六、咨询服务费与支付方式</w:t>
      </w:r>
    </w:p>
    <w:p>
      <w:pPr>
        <w:pStyle w:val="50"/>
        <w:ind w:firstLine="440"/>
        <w:rPr>
          <w:rFonts w:ascii="黑体" w:hAnsi="黑体" w:eastAsia="黑体" w:cs="楷体_GB2312"/>
        </w:rPr>
      </w:pPr>
      <w:r>
        <w:rPr>
          <w:rFonts w:ascii="黑体" w:hAnsi="黑体" w:eastAsia="黑体" w:cs="楷体_GB2312"/>
        </w:rPr>
        <w:t>1</w:t>
      </w:r>
      <w:r>
        <w:rPr>
          <w:rFonts w:hint="eastAsia" w:ascii="黑体" w:hAnsi="黑体" w:eastAsia="黑体" w:cs="楷体_GB2312"/>
        </w:rPr>
        <w:t>、甲方向乙方支付年税务服务费共计人民币</w:t>
      </w:r>
      <w:r>
        <w:rPr>
          <w:rFonts w:hint="eastAsia" w:ascii="黑体" w:hAnsi="黑体" w:eastAsia="黑体" w:cs="楷体_GB2312"/>
          <w:u w:val="single"/>
          <w:lang w:val="en-US" w:eastAsia="zh-CN"/>
        </w:rPr>
        <w:t>含税价</w:t>
      </w:r>
      <w:r>
        <w:rPr>
          <w:rFonts w:hint="eastAsia" w:ascii="黑体" w:hAnsi="黑体" w:eastAsia="黑体" w:cs="楷体_GB2312"/>
          <w:u w:val="single"/>
        </w:rPr>
        <w:t xml:space="preserve">   </w:t>
      </w:r>
      <w:r>
        <w:rPr>
          <w:rFonts w:hint="eastAsia" w:ascii="黑体" w:hAnsi="黑体" w:eastAsia="黑体" w:cs="楷体_GB2312"/>
          <w:u w:val="single"/>
          <w:lang w:val="en-US" w:eastAsia="zh-CN"/>
        </w:rPr>
        <w:t xml:space="preserve">   </w:t>
      </w:r>
      <w:r>
        <w:rPr>
          <w:rFonts w:hint="eastAsia" w:ascii="黑体" w:hAnsi="黑体" w:eastAsia="黑体" w:cs="楷体_GB2312"/>
          <w:u w:val="single"/>
        </w:rPr>
        <w:t xml:space="preserve"> 整（小写：￥     ）</w:t>
      </w:r>
      <w:r>
        <w:rPr>
          <w:rFonts w:hint="eastAsia" w:ascii="黑体" w:hAnsi="黑体" w:eastAsia="黑体" w:cs="楷体_GB2312"/>
          <w:u w:val="single"/>
          <w:lang w:eastAsia="zh-CN"/>
        </w:rPr>
        <w:t>，</w:t>
      </w:r>
      <w:r>
        <w:rPr>
          <w:rFonts w:hint="eastAsia" w:ascii="黑体" w:hAnsi="黑体" w:eastAsia="黑体" w:cs="楷体_GB2312"/>
          <w:u w:val="single"/>
          <w:lang w:val="en-US" w:eastAsia="zh-CN"/>
        </w:rPr>
        <w:t xml:space="preserve">不含税价        </w:t>
      </w:r>
      <w:r>
        <w:rPr>
          <w:rFonts w:hint="eastAsia" w:ascii="黑体" w:hAnsi="黑体" w:eastAsia="黑体" w:cs="楷体_GB2312"/>
          <w:u w:val="single"/>
        </w:rPr>
        <w:t>整（小写：￥     ）</w:t>
      </w:r>
      <w:r>
        <w:rPr>
          <w:rFonts w:hint="eastAsia" w:ascii="黑体" w:hAnsi="黑体" w:eastAsia="黑体" w:cs="楷体_GB2312"/>
          <w:u w:val="single"/>
          <w:lang w:eastAsia="zh-CN"/>
        </w:rPr>
        <w:t>，</w:t>
      </w:r>
      <w:r>
        <w:rPr>
          <w:rFonts w:hint="eastAsia" w:ascii="黑体" w:hAnsi="黑体" w:eastAsia="黑体" w:cs="楷体_GB2312"/>
          <w:u w:val="single"/>
          <w:lang w:val="en-US" w:eastAsia="zh-CN"/>
        </w:rPr>
        <w:t>税率     %</w:t>
      </w:r>
      <w:r>
        <w:rPr>
          <w:rFonts w:hint="eastAsia" w:ascii="黑体" w:hAnsi="黑体" w:eastAsia="黑体" w:cs="楷体_GB2312"/>
          <w:u w:val="single"/>
        </w:rPr>
        <w:t>；</w:t>
      </w:r>
    </w:p>
    <w:p>
      <w:pPr>
        <w:pStyle w:val="50"/>
        <w:ind w:firstLine="440"/>
        <w:rPr>
          <w:rFonts w:ascii="黑体" w:hAnsi="黑体" w:eastAsia="黑体" w:cs="楷体_GB2312"/>
        </w:rPr>
      </w:pPr>
      <w:r>
        <w:rPr>
          <w:rFonts w:hint="eastAsia" w:ascii="黑体" w:hAnsi="黑体" w:eastAsia="黑体" w:cs="楷体_GB2312"/>
        </w:rPr>
        <w:t>2、上述费用自本协议签订之日起</w:t>
      </w:r>
      <w:r>
        <w:rPr>
          <w:rFonts w:hint="eastAsia" w:ascii="黑体" w:hAnsi="黑体" w:eastAsia="黑体" w:cs="楷体_GB2312"/>
          <w:lang w:val="en-US" w:eastAsia="zh-CN"/>
        </w:rPr>
        <w:t>10</w:t>
      </w:r>
      <w:r>
        <w:rPr>
          <w:rFonts w:hint="eastAsia" w:ascii="黑体" w:hAnsi="黑体" w:eastAsia="黑体" w:cs="楷体_GB2312"/>
        </w:rPr>
        <w:t>日内甲方向乙方支付50%人民币（大写）    元 （¥    )。剩余部分在服务期满前7日内支付人民币（大写）     元 （¥     )。甲方支付前，乙方向甲方提供合法</w:t>
      </w:r>
      <w:r>
        <w:rPr>
          <w:rFonts w:hint="eastAsia" w:ascii="黑体" w:hAnsi="黑体" w:eastAsia="黑体" w:cs="楷体_GB2312"/>
          <w:lang w:val="en-US" w:eastAsia="zh-CN"/>
        </w:rPr>
        <w:t>等额</w:t>
      </w:r>
      <w:r>
        <w:rPr>
          <w:rFonts w:hint="eastAsia" w:ascii="黑体" w:hAnsi="黑体" w:eastAsia="黑体" w:cs="楷体_GB2312"/>
        </w:rPr>
        <w:t>的增值税</w:t>
      </w:r>
      <w:r>
        <w:rPr>
          <w:rFonts w:hint="eastAsia" w:ascii="黑体" w:hAnsi="黑体" w:eastAsia="黑体" w:cs="楷体_GB2312"/>
          <w:lang w:val="en-US" w:eastAsia="zh-CN"/>
        </w:rPr>
        <w:t>专用</w:t>
      </w:r>
      <w:r>
        <w:rPr>
          <w:rFonts w:hint="eastAsia" w:ascii="黑体" w:hAnsi="黑体" w:eastAsia="黑体" w:cs="楷体_GB2312"/>
        </w:rPr>
        <w:t>发票</w:t>
      </w:r>
      <w:r>
        <w:rPr>
          <w:rFonts w:hint="eastAsia" w:ascii="黑体" w:hAnsi="黑体" w:eastAsia="黑体" w:cs="楷体_GB2312"/>
          <w:lang w:val="en-US" w:eastAsia="zh-CN"/>
        </w:rPr>
        <w:t>。</w:t>
      </w:r>
    </w:p>
    <w:p>
      <w:pPr>
        <w:pStyle w:val="50"/>
        <w:ind w:firstLine="440"/>
        <w:rPr>
          <w:rFonts w:ascii="黑体" w:hAnsi="黑体" w:eastAsia="黑体" w:cs="楷体_GB2312"/>
        </w:rPr>
      </w:pPr>
      <w:r>
        <w:rPr>
          <w:rFonts w:hint="eastAsia" w:ascii="黑体" w:hAnsi="黑体" w:eastAsia="黑体" w:cs="楷体_GB2312"/>
        </w:rPr>
        <w:t>3、上述费用转入以下指定账户</w:t>
      </w:r>
    </w:p>
    <w:p>
      <w:pPr>
        <w:pStyle w:val="50"/>
        <w:ind w:firstLine="440"/>
        <w:rPr>
          <w:rFonts w:ascii="黑体" w:hAnsi="黑体" w:eastAsia="黑体" w:cs="楷体_GB2312"/>
        </w:rPr>
      </w:pPr>
      <w:r>
        <w:rPr>
          <w:rFonts w:hint="eastAsia" w:ascii="黑体" w:hAnsi="黑体" w:eastAsia="黑体" w:cs="楷体_GB2312"/>
        </w:rPr>
        <w:t>收款单位：</w:t>
      </w:r>
    </w:p>
    <w:p>
      <w:pPr>
        <w:pStyle w:val="50"/>
        <w:ind w:firstLine="440"/>
        <w:rPr>
          <w:rFonts w:ascii="黑体" w:hAnsi="黑体" w:eastAsia="黑体" w:cs="楷体_GB2312"/>
        </w:rPr>
      </w:pPr>
      <w:r>
        <w:rPr>
          <w:rFonts w:hint="eastAsia" w:ascii="黑体" w:hAnsi="黑体" w:eastAsia="黑体" w:cs="楷体_GB2312"/>
        </w:rPr>
        <w:t>开 户 行：</w:t>
      </w:r>
    </w:p>
    <w:p>
      <w:pPr>
        <w:pStyle w:val="50"/>
        <w:ind w:firstLine="440"/>
        <w:rPr>
          <w:rFonts w:ascii="黑体" w:hAnsi="黑体" w:eastAsia="黑体" w:cs="楷体_GB2312"/>
        </w:rPr>
      </w:pPr>
      <w:r>
        <w:rPr>
          <w:rFonts w:hint="eastAsia" w:ascii="黑体" w:hAnsi="黑体" w:eastAsia="黑体" w:cs="楷体_GB2312"/>
        </w:rPr>
        <w:t>帐    号：</w:t>
      </w:r>
    </w:p>
    <w:p>
      <w:pPr>
        <w:pStyle w:val="50"/>
        <w:ind w:firstLine="442"/>
        <w:rPr>
          <w:rFonts w:ascii="黑体" w:hAnsi="黑体" w:eastAsia="黑体" w:cs="楷体_GB2312"/>
          <w:b/>
        </w:rPr>
      </w:pPr>
      <w:r>
        <w:rPr>
          <w:rFonts w:hint="eastAsia" w:ascii="黑体" w:hAnsi="黑体" w:eastAsia="黑体" w:cs="楷体_GB2312"/>
          <w:b/>
        </w:rPr>
        <w:t>七、协议期限</w:t>
      </w:r>
    </w:p>
    <w:p>
      <w:pPr>
        <w:pStyle w:val="50"/>
        <w:ind w:firstLine="440"/>
        <w:rPr>
          <w:rFonts w:hint="eastAsia" w:ascii="黑体" w:hAnsi="黑体" w:eastAsia="黑体" w:cs="楷体_GB2312"/>
        </w:rPr>
      </w:pPr>
      <w:r>
        <w:rPr>
          <w:rFonts w:hint="eastAsia" w:ascii="黑体" w:hAnsi="黑体" w:eastAsia="黑体" w:cs="楷体_GB2312"/>
        </w:rPr>
        <w:t>本协议约定服务期限为    年    月    日至    年    月    日。本协议到期后，</w:t>
      </w:r>
      <w:r>
        <w:rPr>
          <w:rFonts w:hint="eastAsia" w:ascii="黑体" w:hAnsi="黑体" w:eastAsia="黑体" w:cs="楷体_GB2312"/>
          <w:lang w:val="en-US" w:eastAsia="zh-CN"/>
        </w:rPr>
        <w:t>乙方需由甲方进行考核，考核过关后可续签</w:t>
      </w:r>
      <w:r>
        <w:rPr>
          <w:rFonts w:hint="eastAsia" w:ascii="黑体" w:hAnsi="黑体" w:eastAsia="黑体" w:cs="楷体_GB2312"/>
        </w:rPr>
        <w:t>。</w:t>
      </w:r>
    </w:p>
    <w:p>
      <w:pPr>
        <w:pStyle w:val="50"/>
        <w:ind w:firstLine="442"/>
        <w:rPr>
          <w:rFonts w:ascii="黑体" w:hAnsi="黑体" w:eastAsia="黑体" w:cs="楷体_GB2312"/>
          <w:b/>
        </w:rPr>
      </w:pPr>
      <w:r>
        <w:rPr>
          <w:rFonts w:hint="eastAsia" w:ascii="黑体" w:hAnsi="黑体" w:eastAsia="黑体" w:cs="楷体_GB2312"/>
          <w:b/>
        </w:rPr>
        <w:t>八、违约责任</w:t>
      </w:r>
    </w:p>
    <w:p>
      <w:pPr>
        <w:pStyle w:val="50"/>
        <w:ind w:firstLine="440"/>
        <w:rPr>
          <w:rFonts w:ascii="黑体" w:hAnsi="黑体" w:eastAsia="黑体" w:cs="楷体_GB2312"/>
        </w:rPr>
      </w:pPr>
      <w:r>
        <w:rPr>
          <w:rFonts w:ascii="黑体" w:hAnsi="黑体" w:eastAsia="黑体" w:cs="楷体_GB2312"/>
        </w:rPr>
        <w:t>1</w:t>
      </w:r>
      <w:r>
        <w:rPr>
          <w:rFonts w:hint="eastAsia" w:ascii="黑体" w:hAnsi="黑体" w:eastAsia="黑体" w:cs="楷体_GB2312"/>
        </w:rPr>
        <w:t>、甲乙双方不得无故终止本协议，如甲方无故终止履行协议，乙方已收的费用不予退还，如乙方无故终止履行协议，乙方已收的费用全部退还甲方。</w:t>
      </w:r>
    </w:p>
    <w:p>
      <w:pPr>
        <w:pStyle w:val="50"/>
        <w:ind w:firstLine="440"/>
        <w:rPr>
          <w:rFonts w:ascii="黑体" w:hAnsi="黑体" w:eastAsia="黑体" w:cs="楷体_GB2312"/>
        </w:rPr>
      </w:pPr>
      <w:r>
        <w:rPr>
          <w:rFonts w:ascii="黑体" w:hAnsi="黑体" w:eastAsia="黑体" w:cs="楷体_GB2312"/>
        </w:rPr>
        <w:t>2</w:t>
      </w:r>
      <w:r>
        <w:rPr>
          <w:rFonts w:hint="eastAsia" w:ascii="黑体" w:hAnsi="黑体" w:eastAsia="黑体" w:cs="楷体_GB2312"/>
        </w:rPr>
        <w:t>、除上述违约外，任意一方有其它违约的，双方应本着“互利互让、友好协商”解决，协商不成的可向当地人民法院提起诉讼。</w:t>
      </w:r>
    </w:p>
    <w:p>
      <w:pPr>
        <w:pStyle w:val="50"/>
        <w:ind w:firstLine="442"/>
        <w:rPr>
          <w:rFonts w:ascii="黑体" w:hAnsi="黑体" w:eastAsia="黑体" w:cs="楷体_GB2312"/>
          <w:b/>
        </w:rPr>
      </w:pPr>
      <w:r>
        <w:rPr>
          <w:rFonts w:hint="eastAsia" w:ascii="黑体" w:hAnsi="黑体" w:eastAsia="黑体" w:cs="楷体_GB2312"/>
          <w:b/>
        </w:rPr>
        <w:t>九、其他事项</w:t>
      </w:r>
    </w:p>
    <w:p>
      <w:pPr>
        <w:pStyle w:val="50"/>
        <w:ind w:firstLine="440"/>
        <w:rPr>
          <w:rFonts w:ascii="黑体" w:hAnsi="黑体" w:eastAsia="黑体" w:cs="楷体_GB2312"/>
        </w:rPr>
      </w:pPr>
      <w:r>
        <w:rPr>
          <w:rFonts w:ascii="黑体" w:hAnsi="黑体" w:eastAsia="黑体" w:cs="楷体_GB2312"/>
        </w:rPr>
        <w:t>1</w:t>
      </w:r>
      <w:r>
        <w:rPr>
          <w:rFonts w:hint="eastAsia" w:ascii="黑体" w:hAnsi="黑体" w:eastAsia="黑体" w:cs="楷体_GB2312"/>
        </w:rPr>
        <w:t>、双方未尽事宜另签补充协议，补充协议与本协议具有同等法律效力。</w:t>
      </w:r>
    </w:p>
    <w:p>
      <w:pPr>
        <w:pStyle w:val="50"/>
        <w:ind w:firstLine="440"/>
        <w:rPr>
          <w:rFonts w:ascii="黑体" w:hAnsi="黑体" w:eastAsia="黑体" w:cs="楷体_GB2312"/>
        </w:rPr>
      </w:pPr>
      <w:r>
        <w:rPr>
          <w:rFonts w:ascii="黑体" w:hAnsi="黑体" w:eastAsia="黑体" w:cs="楷体_GB2312"/>
        </w:rPr>
        <w:t>2</w:t>
      </w:r>
      <w:r>
        <w:rPr>
          <w:rFonts w:hint="eastAsia" w:ascii="黑体" w:hAnsi="黑体" w:eastAsia="黑体" w:cs="楷体_GB2312"/>
        </w:rPr>
        <w:t>、乙方可在业务宣传资料中提及甲方的名称及相关服务类别，但不得涉及双方已约定的保密事项及业务。</w:t>
      </w:r>
    </w:p>
    <w:p>
      <w:pPr>
        <w:pStyle w:val="50"/>
        <w:ind w:firstLine="440"/>
        <w:rPr>
          <w:rFonts w:ascii="黑体" w:hAnsi="黑体" w:eastAsia="黑体" w:cs="楷体_GB2312"/>
        </w:rPr>
      </w:pPr>
      <w:r>
        <w:rPr>
          <w:rFonts w:ascii="黑体" w:hAnsi="黑体" w:eastAsia="黑体" w:cs="楷体_GB2312"/>
        </w:rPr>
        <w:t>3</w:t>
      </w:r>
      <w:r>
        <w:rPr>
          <w:rFonts w:hint="eastAsia" w:ascii="黑体" w:hAnsi="黑体" w:eastAsia="黑体" w:cs="楷体_GB2312"/>
        </w:rPr>
        <w:t>、本合同一式</w:t>
      </w:r>
      <w:r>
        <w:rPr>
          <w:rFonts w:hint="eastAsia" w:ascii="黑体" w:hAnsi="黑体" w:eastAsia="黑体" w:cs="楷体_GB2312"/>
          <w:lang w:val="en-US" w:eastAsia="zh-CN"/>
        </w:rPr>
        <w:t>陆</w:t>
      </w:r>
      <w:r>
        <w:rPr>
          <w:rFonts w:hint="eastAsia" w:ascii="黑体" w:hAnsi="黑体" w:eastAsia="黑体" w:cs="楷体_GB2312"/>
        </w:rPr>
        <w:t>份，甲、乙双方各执</w:t>
      </w:r>
      <w:r>
        <w:rPr>
          <w:rFonts w:hint="eastAsia" w:ascii="黑体" w:hAnsi="黑体" w:eastAsia="黑体" w:cs="楷体_GB2312"/>
          <w:lang w:val="en-US" w:eastAsia="zh-CN"/>
        </w:rPr>
        <w:t>叁</w:t>
      </w:r>
      <w:r>
        <w:rPr>
          <w:rFonts w:hint="eastAsia" w:ascii="黑体" w:hAnsi="黑体" w:eastAsia="黑体" w:cs="楷体_GB2312"/>
        </w:rPr>
        <w:t>份，具有同等法律效力。</w:t>
      </w:r>
    </w:p>
    <w:p>
      <w:pPr>
        <w:pStyle w:val="50"/>
        <w:ind w:firstLine="440"/>
        <w:rPr>
          <w:rFonts w:ascii="黑体" w:hAnsi="黑体" w:eastAsia="黑体" w:cs="楷体_GB2312"/>
        </w:rPr>
      </w:pPr>
      <w:r>
        <w:rPr>
          <w:rFonts w:ascii="黑体" w:hAnsi="黑体" w:eastAsia="黑体" w:cs="楷体_GB2312"/>
        </w:rPr>
        <w:t>4</w:t>
      </w:r>
      <w:r>
        <w:rPr>
          <w:rFonts w:hint="eastAsia" w:ascii="黑体" w:hAnsi="黑体" w:eastAsia="黑体" w:cs="楷体_GB2312"/>
        </w:rPr>
        <w:t>、本合同自甲乙双方签字、盖章后生效，双方签署时间不一致的以甲方签约时间为准。</w:t>
      </w:r>
    </w:p>
    <w:p>
      <w:pPr>
        <w:pStyle w:val="50"/>
        <w:ind w:firstLine="440"/>
        <w:rPr>
          <w:rFonts w:ascii="黑体" w:hAnsi="黑体" w:eastAsia="黑体" w:cs="楷体_GB2312"/>
        </w:rPr>
      </w:pPr>
    </w:p>
    <w:p>
      <w:pPr>
        <w:pStyle w:val="50"/>
        <w:ind w:firstLine="440"/>
        <w:rPr>
          <w:rFonts w:ascii="黑体" w:hAnsi="黑体" w:eastAsia="黑体" w:cs="楷体_GB2312"/>
        </w:rPr>
      </w:pPr>
    </w:p>
    <w:p>
      <w:pPr>
        <w:pStyle w:val="50"/>
        <w:ind w:firstLine="440"/>
        <w:rPr>
          <w:rFonts w:ascii="黑体" w:hAnsi="黑体" w:eastAsia="黑体" w:cs="楷体_GB2312"/>
        </w:rPr>
      </w:pPr>
    </w:p>
    <w:p>
      <w:pPr>
        <w:pStyle w:val="50"/>
        <w:ind w:firstLine="440"/>
        <w:rPr>
          <w:rFonts w:ascii="黑体" w:hAnsi="黑体" w:eastAsia="黑体" w:cs="楷体_GB2312"/>
        </w:rPr>
      </w:pPr>
    </w:p>
    <w:p>
      <w:pPr>
        <w:pStyle w:val="50"/>
        <w:ind w:firstLine="440"/>
        <w:rPr>
          <w:rFonts w:ascii="黑体" w:hAnsi="黑体" w:eastAsia="黑体" w:cs="楷体_GB2312"/>
        </w:rPr>
      </w:pPr>
      <w:r>
        <w:rPr>
          <w:rFonts w:hint="eastAsia" w:ascii="黑体" w:hAnsi="黑体" w:eastAsia="黑体" w:cs="楷体_GB2312"/>
        </w:rPr>
        <w:t>甲方：（公章）                         乙方：(公章)</w:t>
      </w:r>
    </w:p>
    <w:p>
      <w:pPr>
        <w:pStyle w:val="50"/>
        <w:ind w:firstLine="440"/>
        <w:rPr>
          <w:rFonts w:ascii="黑体" w:hAnsi="黑体" w:eastAsia="黑体" w:cs="楷体_GB2312"/>
        </w:rPr>
      </w:pPr>
      <w:r>
        <w:rPr>
          <w:rFonts w:hint="eastAsia" w:ascii="黑体" w:hAnsi="黑体" w:eastAsia="黑体" w:cs="楷体_GB2312"/>
        </w:rPr>
        <w:t>签约代表：　　　　　　　　　　　　　　签约代表：　（签字）</w:t>
      </w:r>
    </w:p>
    <w:p>
      <w:pPr>
        <w:pStyle w:val="50"/>
        <w:ind w:firstLine="440"/>
        <w:rPr>
          <w:rFonts w:ascii="黑体" w:hAnsi="黑体" w:eastAsia="黑体" w:cs="楷体_GB2312"/>
        </w:rPr>
      </w:pPr>
    </w:p>
    <w:p>
      <w:pPr>
        <w:ind w:firstLine="440" w:firstLineChars="200"/>
        <w:rPr>
          <w:rFonts w:ascii="黑体" w:hAnsi="黑体" w:eastAsia="黑体"/>
        </w:rPr>
      </w:pPr>
      <w:r>
        <w:rPr>
          <w:rFonts w:hint="eastAsia" w:ascii="黑体" w:hAnsi="黑体" w:eastAsia="黑体" w:cs="楷体_GB2312"/>
        </w:rPr>
        <w:t>签署日期：                            签约地</w:t>
      </w:r>
      <w:r>
        <w:rPr>
          <w:rFonts w:hint="eastAsia" w:ascii="黑体" w:hAnsi="黑体" w:eastAsia="黑体"/>
        </w:rPr>
        <w:t>址：</w:t>
      </w:r>
    </w:p>
    <w:p>
      <w:pPr>
        <w:ind w:firstLine="440" w:firstLineChars="200"/>
        <w:rPr>
          <w:rFonts w:ascii="黑体" w:hAnsi="黑体" w:eastAsia="黑体" w:cs="楷体_GB2312"/>
        </w:rPr>
      </w:pPr>
    </w:p>
    <w:p>
      <w:pPr>
        <w:spacing w:after="0" w:line="500" w:lineRule="exact"/>
        <w:jc w:val="both"/>
        <w:rPr>
          <w:rFonts w:ascii="仿宋_GB2312" w:hAnsi="仿宋_GB2312" w:eastAsia="仿宋_GB2312" w:cs="仿宋_GB2312"/>
          <w:b/>
          <w:sz w:val="36"/>
        </w:rPr>
      </w:pPr>
    </w:p>
    <w:p>
      <w:pPr>
        <w:spacing w:after="0" w:line="500" w:lineRule="exact"/>
        <w:jc w:val="center"/>
        <w:rPr>
          <w:rFonts w:ascii="仿宋_GB2312" w:hAnsi="仿宋_GB2312" w:eastAsia="仿宋_GB2312" w:cs="仿宋_GB2312"/>
          <w:b/>
          <w:sz w:val="36"/>
        </w:rPr>
      </w:pPr>
      <w:r>
        <w:rPr>
          <w:rFonts w:hint="eastAsia" w:ascii="仿宋_GB2312" w:hAnsi="仿宋_GB2312" w:eastAsia="仿宋_GB2312" w:cs="仿宋_GB2312"/>
          <w:b/>
          <w:sz w:val="36"/>
        </w:rPr>
        <w:t>保</w:t>
      </w:r>
      <w:r>
        <w:rPr>
          <w:rFonts w:ascii="仿宋_GB2312" w:hAnsi="仿宋_GB2312" w:eastAsia="仿宋_GB2312" w:cs="仿宋_GB2312"/>
          <w:b/>
          <w:sz w:val="36"/>
        </w:rPr>
        <w:t xml:space="preserve"> </w:t>
      </w:r>
      <w:r>
        <w:rPr>
          <w:rFonts w:hint="eastAsia" w:ascii="仿宋_GB2312" w:hAnsi="仿宋_GB2312" w:eastAsia="仿宋_GB2312" w:cs="仿宋_GB2312"/>
          <w:b/>
          <w:sz w:val="36"/>
        </w:rPr>
        <w:t>密</w:t>
      </w:r>
      <w:r>
        <w:rPr>
          <w:rFonts w:ascii="仿宋_GB2312" w:hAnsi="仿宋_GB2312" w:eastAsia="仿宋_GB2312" w:cs="仿宋_GB2312"/>
          <w:b/>
          <w:sz w:val="36"/>
        </w:rPr>
        <w:t xml:space="preserve"> </w:t>
      </w:r>
      <w:r>
        <w:rPr>
          <w:rFonts w:hint="eastAsia" w:ascii="仿宋_GB2312" w:hAnsi="仿宋_GB2312" w:eastAsia="仿宋_GB2312" w:cs="仿宋_GB2312"/>
          <w:b/>
          <w:sz w:val="36"/>
        </w:rPr>
        <w:t>协</w:t>
      </w:r>
      <w:r>
        <w:rPr>
          <w:rFonts w:ascii="仿宋_GB2312" w:hAnsi="仿宋_GB2312" w:eastAsia="仿宋_GB2312" w:cs="仿宋_GB2312"/>
          <w:b/>
          <w:sz w:val="36"/>
        </w:rPr>
        <w:t xml:space="preserve"> </w:t>
      </w:r>
      <w:r>
        <w:rPr>
          <w:rFonts w:hint="eastAsia" w:ascii="仿宋_GB2312" w:hAnsi="仿宋_GB2312" w:eastAsia="仿宋_GB2312" w:cs="仿宋_GB2312"/>
          <w:b/>
          <w:sz w:val="36"/>
        </w:rPr>
        <w:t>议</w:t>
      </w:r>
    </w:p>
    <w:p>
      <w:pPr>
        <w:spacing w:after="0" w:line="50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甲方</w:t>
      </w:r>
      <w:r>
        <w:rPr>
          <w:rFonts w:hint="eastAsia" w:ascii="仿宋_GB2312" w:hAnsi="仿宋_GB2312" w:eastAsia="仿宋_GB2312" w:cs="仿宋_GB2312"/>
          <w:sz w:val="28"/>
          <w:szCs w:val="28"/>
        </w:rPr>
        <w:t>：四川蜀道铁路运营管理集团有限责任公司</w:t>
      </w:r>
    </w:p>
    <w:p>
      <w:pPr>
        <w:spacing w:after="0" w:line="50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法定代表人</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 </w:t>
      </w:r>
    </w:p>
    <w:p>
      <w:pPr>
        <w:spacing w:after="0" w:line="500" w:lineRule="exact"/>
        <w:rPr>
          <w:rFonts w:ascii="仿宋_GB2312" w:hAnsi="仿宋_GB2312" w:eastAsia="仿宋_GB2312" w:cs="仿宋_GB2312"/>
          <w:b/>
          <w:bCs/>
          <w:sz w:val="28"/>
          <w:szCs w:val="28"/>
        </w:rPr>
      </w:pPr>
    </w:p>
    <w:p>
      <w:pPr>
        <w:spacing w:after="0" w:line="50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乙方</w:t>
      </w:r>
      <w:r>
        <w:rPr>
          <w:rFonts w:hint="eastAsia" w:ascii="仿宋_GB2312" w:hAnsi="仿宋_GB2312" w:eastAsia="仿宋_GB2312" w:cs="仿宋_GB2312"/>
          <w:sz w:val="28"/>
          <w:szCs w:val="28"/>
        </w:rPr>
        <w:t>：</w:t>
      </w:r>
    </w:p>
    <w:p>
      <w:pPr>
        <w:spacing w:after="0" w:line="50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法定代表人</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 xml:space="preserve"> </w:t>
      </w:r>
    </w:p>
    <w:p>
      <w:pPr>
        <w:spacing w:after="0" w:line="500" w:lineRule="exact"/>
        <w:rPr>
          <w:rFonts w:ascii="仿宋_GB2312" w:hAnsi="仿宋_GB2312" w:eastAsia="仿宋_GB2312" w:cs="仿宋_GB2312"/>
          <w:sz w:val="28"/>
          <w:szCs w:val="28"/>
        </w:rPr>
      </w:pP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鉴于</w:t>
      </w:r>
    </w:p>
    <w:p>
      <w:pPr>
        <w:spacing w:after="0"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1、甲方因日常经营管理需要，聘请乙方为甲方提供</w:t>
      </w:r>
      <w:r>
        <w:rPr>
          <w:rFonts w:hint="eastAsia" w:ascii="仿宋_GB2312" w:hAnsi="仿宋_GB2312" w:eastAsia="仿宋_GB2312" w:cs="仿宋_GB2312"/>
          <w:sz w:val="28"/>
          <w:szCs w:val="28"/>
        </w:rPr>
        <w:t>税务</w:t>
      </w:r>
      <w:r>
        <w:rPr>
          <w:rFonts w:ascii="仿宋_GB2312" w:hAnsi="仿宋_GB2312" w:eastAsia="仿宋_GB2312" w:cs="仿宋_GB2312"/>
          <w:sz w:val="28"/>
          <w:szCs w:val="28"/>
        </w:rPr>
        <w:t>顾问服务，并与乙方签署常年</w:t>
      </w:r>
      <w:r>
        <w:rPr>
          <w:rFonts w:hint="eastAsia" w:ascii="仿宋_GB2312" w:hAnsi="仿宋_GB2312" w:eastAsia="仿宋_GB2312" w:cs="仿宋_GB2312"/>
          <w:sz w:val="28"/>
          <w:szCs w:val="28"/>
        </w:rPr>
        <w:t>税务</w:t>
      </w:r>
      <w:r>
        <w:rPr>
          <w:rFonts w:ascii="仿宋_GB2312" w:hAnsi="仿宋_GB2312" w:eastAsia="仿宋_GB2312" w:cs="仿宋_GB2312"/>
          <w:sz w:val="28"/>
          <w:szCs w:val="28"/>
        </w:rPr>
        <w:t>顾问服务合同（以下简称“顾问合同”），而在合作过程中乙方将可能会知悉甲方及甲方下属公司的各项信息和商业秘密；</w:t>
      </w:r>
    </w:p>
    <w:p>
      <w:pPr>
        <w:spacing w:after="0"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2、甲方要求乙方对在此次常年</w:t>
      </w:r>
      <w:r>
        <w:rPr>
          <w:rFonts w:hint="eastAsia" w:ascii="仿宋_GB2312" w:hAnsi="仿宋_GB2312" w:eastAsia="仿宋_GB2312" w:cs="仿宋_GB2312"/>
          <w:sz w:val="28"/>
          <w:szCs w:val="28"/>
        </w:rPr>
        <w:t>税务</w:t>
      </w:r>
      <w:r>
        <w:rPr>
          <w:rFonts w:ascii="仿宋_GB2312" w:hAnsi="仿宋_GB2312" w:eastAsia="仿宋_GB2312" w:cs="仿宋_GB2312"/>
          <w:sz w:val="28"/>
          <w:szCs w:val="28"/>
        </w:rPr>
        <w:t>顾问服务过程中所知悉的各项信息或商业秘密承担保密义务。</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现为了明确乙方的保密义务，甲、乙双方本着平等、自愿、公平和诚实信用的原则，依据有关法律法规，订立本保密协议。</w:t>
      </w:r>
    </w:p>
    <w:p>
      <w:pPr>
        <w:spacing w:after="0"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一、保密范围</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甲、乙双方在就提供税务</w:t>
      </w:r>
      <w:r>
        <w:rPr>
          <w:rFonts w:ascii="仿宋_GB2312" w:hAnsi="仿宋_GB2312" w:eastAsia="仿宋_GB2312" w:cs="仿宋_GB2312"/>
          <w:sz w:val="28"/>
          <w:szCs w:val="28"/>
        </w:rPr>
        <w:t>顾问</w:t>
      </w:r>
      <w:r>
        <w:rPr>
          <w:rFonts w:hint="eastAsia" w:ascii="仿宋_GB2312" w:hAnsi="仿宋_GB2312" w:eastAsia="仿宋_GB2312" w:cs="仿宋_GB2312"/>
          <w:sz w:val="28"/>
          <w:szCs w:val="28"/>
        </w:rPr>
        <w:t>服务项目建立一切经济或法律关系，包括但不限于顾问、咨询、代理、专项等合作关系（简称双方合作）的过程中以及建立关系之后，乙方应对其在上述关系中所知晓的甲方的各项信息和商业秘密承担保密责任。</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二、保密内容</w:t>
      </w:r>
    </w:p>
    <w:p>
      <w:pPr>
        <w:spacing w:after="0" w:line="500" w:lineRule="exact"/>
        <w:ind w:firstLine="560" w:firstLineChars="200"/>
        <w:rPr>
          <w:rFonts w:ascii="仿宋_GB2312" w:hAnsi="仿宋_GB2312" w:eastAsia="仿宋_GB2312" w:cs="仿宋_GB2312"/>
          <w:bCs/>
          <w:sz w:val="28"/>
          <w:szCs w:val="28"/>
        </w:rPr>
      </w:pPr>
      <w:r>
        <w:rPr>
          <w:rFonts w:ascii="仿宋_GB2312" w:hAnsi="仿宋_GB2312" w:eastAsia="仿宋_GB2312" w:cs="仿宋_GB2312"/>
          <w:sz w:val="28"/>
          <w:szCs w:val="28"/>
        </w:rPr>
        <w:t>1、乙方应承担保密责任的甲方的信息和商业秘密包括但不限于以下内容：</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1）甲方商业秘密，即不为公众所知悉、能为甲方带来经济利益，具有实用性并经甲方采取保密措施的技术信息和经营信息。</w:t>
      </w:r>
    </w:p>
    <w:p>
      <w:pPr>
        <w:spacing w:after="0" w:line="50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2）虽不符合商业秘密构成要件，但是甲方明确提出保密要求的资料或者信息。</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3）与甲方有合作关系且甲方应承担保密义务的其他单位或个人的商业秘密。</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4）其他经甲方采取保密措施的商业秘密。</w:t>
      </w:r>
    </w:p>
    <w:p>
      <w:pPr>
        <w:spacing w:after="0"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2、以下信息不属于保密资料：</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1）乙方已经或将要从公开渠道获得的且已公开的与甲方有关的信息；</w:t>
      </w:r>
    </w:p>
    <w:p>
      <w:pPr>
        <w:spacing w:after="0" w:line="500" w:lineRule="exact"/>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w:t>
      </w:r>
      <w:r>
        <w:rPr>
          <w:rFonts w:ascii="仿宋_GB2312" w:hAnsi="仿宋_GB2312" w:eastAsia="仿宋_GB2312" w:cs="仿宋_GB2312"/>
          <w:sz w:val="28"/>
          <w:szCs w:val="28"/>
        </w:rPr>
        <w:t>2）从第三方获得的信息，且乙方有理由相信该第三方对该等信息的拥有不是由于违反了其对其他方的保密义务的结果。</w:t>
      </w:r>
    </w:p>
    <w:p>
      <w:pPr>
        <w:spacing w:after="0" w:line="50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三、乙方保密义务</w:t>
      </w:r>
    </w:p>
    <w:p>
      <w:pPr>
        <w:spacing w:after="0"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1、不得将甲方的商业秘密用于双方合作事宜或双方未来书面协议规定之外的任何其他目的。</w:t>
      </w:r>
    </w:p>
    <w:p>
      <w:pPr>
        <w:spacing w:after="0"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2、不得向甲方公司内部不承担保密义务的任何第三人披露甲方的商业秘密。</w:t>
      </w:r>
    </w:p>
    <w:p>
      <w:pPr>
        <w:spacing w:after="0"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3、不得向甲方以外的其他单位或者个人披露、允许（出借、赠与、出租、转让等处分甲方商业秘密的行为皆属于“允许”）或协助其使用甲方的商业秘密也不得以任何方式在任何场所将甲方商业秘密予以公开或公布。</w:t>
      </w:r>
    </w:p>
    <w:p>
      <w:pPr>
        <w:spacing w:after="0"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4、甲方印发的有关文字资料、图纸、报表、数字等等，乙方未经甲方批准均不得向他人提供。</w:t>
      </w:r>
    </w:p>
    <w:p>
      <w:pPr>
        <w:spacing w:after="0"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5、如发现商业秘密被泄露或者自己过失泄露商业秘密，应当采取有效措施防止泄密进一步扩大，并及时向甲方报告。</w:t>
      </w:r>
    </w:p>
    <w:p>
      <w:pPr>
        <w:spacing w:after="0" w:line="500" w:lineRule="exact"/>
        <w:ind w:firstLine="560" w:firstLineChars="200"/>
        <w:rPr>
          <w:rFonts w:ascii="仿宋_GB2312" w:hAnsi="仿宋_GB2312" w:eastAsia="仿宋_GB2312" w:cs="仿宋_GB2312"/>
          <w:b/>
          <w:bCs/>
          <w:sz w:val="28"/>
          <w:szCs w:val="28"/>
        </w:rPr>
      </w:pPr>
      <w:r>
        <w:rPr>
          <w:rFonts w:ascii="仿宋_GB2312" w:hAnsi="仿宋_GB2312" w:eastAsia="仿宋_GB2312" w:cs="仿宋_GB2312"/>
          <w:sz w:val="28"/>
          <w:szCs w:val="28"/>
        </w:rPr>
        <w:t>6、若有权机关，如司法、行政机关，要求乙方披露保密资料，乙方将立即通知甲方此类要求；若乙方按上述要求必须提供保密资料，乙方将配合甲方采取合法及合理的措施，力求所提供的保密资料能得到保密的待遇。</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四、保密期限：自本协议签订之日起至顾问合同履行完毕后五年内，乙方仍应承担保密义务。</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五、甲方有权基于自身的判断决定是否为乙方提供商业秘密以及提供何种商业秘密，甲方无义务保证其提供商业秘密的正确性、可靠性、新颖性、完整性等，但甲方应保证其合法性。</w:t>
      </w:r>
      <w:r>
        <w:rPr>
          <w:rFonts w:ascii="仿宋_GB2312" w:hAnsi="仿宋_GB2312" w:eastAsia="仿宋_GB2312" w:cs="仿宋_GB2312"/>
          <w:sz w:val="28"/>
          <w:szCs w:val="28"/>
        </w:rPr>
        <w:t xml:space="preserve">                             </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六、乙方违反本协议约定，造成甲方实际经济损失的，甲方有权向乙方追偿。</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七、甲、乙双方因履行本协议而发生的任何争议，由双方协商解决，协商不成，双方均可向甲方所在地人民法院提起诉讼。</w:t>
      </w:r>
    </w:p>
    <w:p>
      <w:pPr>
        <w:spacing w:after="0"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八、本协议一式贰份，甲乙双方各执壹份，经双方签字盖章后生效。</w:t>
      </w:r>
    </w:p>
    <w:p>
      <w:pPr>
        <w:pStyle w:val="11"/>
        <w:ind w:left="440" w:firstLine="617"/>
        <w:rPr>
          <w:rFonts w:ascii="仿宋_GB2312" w:hAnsi="仿宋_GB2312" w:eastAsia="仿宋_GB2312" w:cs="仿宋_GB2312"/>
          <w:b/>
          <w:szCs w:val="28"/>
        </w:rPr>
      </w:pPr>
    </w:p>
    <w:p>
      <w:pPr>
        <w:spacing w:line="480" w:lineRule="auto"/>
        <w:rPr>
          <w:rFonts w:ascii="仿宋_GB2312" w:hAnsi="仿宋_GB2312" w:eastAsia="仿宋_GB2312" w:cs="仿宋_GB2312"/>
          <w:sz w:val="28"/>
          <w:szCs w:val="28"/>
        </w:rPr>
      </w:pPr>
    </w:p>
    <w:p>
      <w:pPr>
        <w:spacing w:line="48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甲方：</w:t>
      </w:r>
      <w:r>
        <w:rPr>
          <w:rFonts w:ascii="仿宋_GB2312" w:hAnsi="仿宋_GB2312" w:eastAsia="仿宋_GB2312" w:cs="仿宋_GB2312"/>
          <w:b/>
          <w:bCs/>
          <w:sz w:val="28"/>
          <w:szCs w:val="28"/>
        </w:rPr>
        <w:t xml:space="preserve">                             乙方：</w:t>
      </w:r>
    </w:p>
    <w:p>
      <w:pPr>
        <w:spacing w:line="480" w:lineRule="auto"/>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法定代表人或授权代表：</w:t>
      </w:r>
      <w:r>
        <w:rPr>
          <w:rFonts w:ascii="仿宋_GB2312" w:hAnsi="仿宋_GB2312" w:eastAsia="仿宋_GB2312" w:cs="仿宋_GB2312"/>
          <w:b/>
          <w:bCs/>
          <w:sz w:val="28"/>
          <w:szCs w:val="28"/>
        </w:rPr>
        <w:t xml:space="preserve">             </w:t>
      </w:r>
      <w:r>
        <w:rPr>
          <w:rFonts w:hint="eastAsia" w:ascii="仿宋_GB2312" w:hAnsi="仿宋_GB2312" w:eastAsia="仿宋_GB2312" w:cs="仿宋_GB2312"/>
          <w:b/>
          <w:bCs/>
          <w:sz w:val="28"/>
          <w:szCs w:val="28"/>
        </w:rPr>
        <w:t>法定代表人或授权代表：</w:t>
      </w:r>
    </w:p>
    <w:p>
      <w:pPr>
        <w:spacing w:line="480" w:lineRule="auto"/>
        <w:ind w:firstLine="1920"/>
        <w:rPr>
          <w:rFonts w:ascii="仿宋_GB2312" w:hAnsi="仿宋_GB2312" w:eastAsia="仿宋_GB2312" w:cs="仿宋_GB2312"/>
          <w:b/>
          <w:bCs/>
          <w:sz w:val="28"/>
          <w:szCs w:val="28"/>
        </w:rPr>
      </w:pPr>
      <w:r>
        <w:rPr>
          <w:rFonts w:ascii="仿宋_GB2312" w:hAnsi="仿宋_GB2312" w:eastAsia="仿宋_GB2312" w:cs="仿宋_GB2312"/>
          <w:b/>
          <w:bCs/>
          <w:sz w:val="28"/>
          <w:szCs w:val="28"/>
        </w:rPr>
        <w:t xml:space="preserve">     </w:t>
      </w:r>
    </w:p>
    <w:p>
      <w:pPr>
        <w:pStyle w:val="2"/>
        <w:spacing w:line="520" w:lineRule="exact"/>
        <w:ind w:left="0" w:leftChars="0" w:firstLine="0" w:firstLineChars="0"/>
        <w:jc w:val="right"/>
        <w:rPr>
          <w:rFonts w:ascii="仿宋_GB2312" w:hAnsi="仿宋_GB2312" w:eastAsia="仿宋_GB2312" w:cs="仿宋_GB2312"/>
          <w:kern w:val="0"/>
          <w:sz w:val="28"/>
          <w:szCs w:val="28"/>
        </w:rPr>
      </w:pPr>
      <w:r>
        <w:rPr>
          <w:rFonts w:ascii="仿宋_GB2312" w:hAnsi="仿宋_GB2312" w:eastAsia="仿宋_GB2312" w:cs="仿宋_GB2312"/>
          <w:b/>
          <w:bCs/>
          <w:sz w:val="28"/>
          <w:szCs w:val="28"/>
        </w:rPr>
        <w:t xml:space="preserve"> 年    月   日</w:t>
      </w:r>
    </w:p>
    <w:sectPr>
      <w:footerReference r:id="rId6" w:type="first"/>
      <w:footerReference r:id="rId5" w:type="default"/>
      <w:pgSz w:w="11906" w:h="16838"/>
      <w:pgMar w:top="2098" w:right="1474" w:bottom="1984" w:left="1587" w:header="851" w:footer="992" w:gutter="0"/>
      <w:pgNumType w:start="1"/>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icrosoft YaHei UI">
    <w:panose1 w:val="020B0503020204020204"/>
    <w:charset w:val="86"/>
    <w:family w:val="swiss"/>
    <w:pitch w:val="default"/>
    <w:sig w:usb0="80000287" w:usb1="2ACF3C50" w:usb2="00000016" w:usb3="00000000" w:csb0="0004001F" w:csb1="00000000"/>
  </w:font>
  <w:font w:name="??">
    <w:altName w:val="Segoe Print"/>
    <w:panose1 w:val="00000000000000000000"/>
    <w:charset w:val="00"/>
    <w:family w:val="auto"/>
    <w:pitch w:val="default"/>
    <w:sig w:usb0="00000000" w:usb1="00000000" w:usb2="00000000" w:usb3="00000000" w:csb0="00000001" w:csb1="00000000"/>
  </w:font>
  <w:font w:name="方正小标宋简体">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7906311"/>
    </w:sdtPr>
    <w:sdtContent>
      <w:p>
        <w:pPr>
          <w:pStyle w:val="13"/>
          <w:jc w:val="center"/>
        </w:pPr>
        <w:r>
          <w:fldChar w:fldCharType="begin"/>
        </w:r>
        <w:r>
          <w:instrText xml:space="preserve">PAGE   \* MERGEFORMAT</w:instrText>
        </w:r>
        <w:r>
          <w:fldChar w:fldCharType="separate"/>
        </w:r>
        <w:r>
          <w:rPr>
            <w:lang w:val="zh-CN"/>
          </w:rPr>
          <w:t>4</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1236274"/>
    </w:sdtPr>
    <w:sdtContent>
      <w:p>
        <w:pPr>
          <w:pStyle w:val="13"/>
          <w:jc w:val="center"/>
        </w:pPr>
        <w:r>
          <w:fldChar w:fldCharType="begin"/>
        </w:r>
        <w:r>
          <w:instrText xml:space="preserve">PAGE   \* MERGEFORMAT</w:instrText>
        </w:r>
        <w:r>
          <w:fldChar w:fldCharType="separate"/>
        </w:r>
        <w:r>
          <w:rPr>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995DE3"/>
    <w:multiLevelType w:val="singleLevel"/>
    <w:tmpl w:val="B7995DE3"/>
    <w:lvl w:ilvl="0" w:tentative="0">
      <w:start w:val="1"/>
      <w:numFmt w:val="chineseCounting"/>
      <w:suff w:val="nothing"/>
      <w:lvlText w:val="（%1）"/>
      <w:lvlJc w:val="left"/>
      <w:rPr>
        <w:rFonts w:hint="eastAsia"/>
      </w:rPr>
    </w:lvl>
  </w:abstractNum>
  <w:abstractNum w:abstractNumId="1">
    <w:nsid w:val="F7533932"/>
    <w:multiLevelType w:val="singleLevel"/>
    <w:tmpl w:val="F7533932"/>
    <w:lvl w:ilvl="0" w:tentative="0">
      <w:start w:val="1"/>
      <w:numFmt w:val="chineseCounting"/>
      <w:suff w:val="nothing"/>
      <w:lvlText w:val="%1、"/>
      <w:lvlJc w:val="left"/>
      <w:rPr>
        <w:rFonts w:hint="eastAsia"/>
        <w:b/>
        <w:bCs/>
      </w:rPr>
    </w:lvl>
  </w:abstractNum>
  <w:abstractNum w:abstractNumId="2">
    <w:nsid w:val="10314634"/>
    <w:multiLevelType w:val="singleLevel"/>
    <w:tmpl w:val="10314634"/>
    <w:lvl w:ilvl="0" w:tentative="0">
      <w:start w:val="1"/>
      <w:numFmt w:val="chineseCounting"/>
      <w:suff w:val="nothing"/>
      <w:lvlText w:val="%1、"/>
      <w:lvlJc w:val="left"/>
      <w:rPr>
        <w:rFonts w:hint="eastAsia"/>
        <w:b/>
        <w:bCs/>
      </w:rPr>
    </w:lvl>
  </w:abstractNum>
  <w:abstractNum w:abstractNumId="3">
    <w:nsid w:val="19D3F470"/>
    <w:multiLevelType w:val="singleLevel"/>
    <w:tmpl w:val="19D3F470"/>
    <w:lvl w:ilvl="0" w:tentative="0">
      <w:start w:val="1"/>
      <w:numFmt w:val="chineseCounting"/>
      <w:suff w:val="nothing"/>
      <w:lvlText w:val="%1、"/>
      <w:lvlJc w:val="left"/>
      <w:rPr>
        <w:rFonts w:hint="eastAsia"/>
        <w:b/>
        <w:bCs/>
      </w:rPr>
    </w:lvl>
  </w:abstractNum>
  <w:abstractNum w:abstractNumId="4">
    <w:nsid w:val="3FC1FC69"/>
    <w:multiLevelType w:val="singleLevel"/>
    <w:tmpl w:val="3FC1FC69"/>
    <w:lvl w:ilvl="0" w:tentative="0">
      <w:start w:val="1"/>
      <w:numFmt w:val="chineseCounting"/>
      <w:suff w:val="nothing"/>
      <w:lvlText w:val="%1、"/>
      <w:lvlJc w:val="left"/>
      <w:rPr>
        <w:rFonts w:hint="eastAsia"/>
        <w:b/>
        <w:bC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ZlOTI3MTJmZDg1OTg3ZjRlYjc1Yzc4Mjk1MTA5NWUifQ=="/>
  </w:docVars>
  <w:rsids>
    <w:rsidRoot w:val="00172A27"/>
    <w:rsid w:val="00002DB9"/>
    <w:rsid w:val="00002DDE"/>
    <w:rsid w:val="00017EA0"/>
    <w:rsid w:val="00020BB4"/>
    <w:rsid w:val="000217AC"/>
    <w:rsid w:val="00036445"/>
    <w:rsid w:val="00037127"/>
    <w:rsid w:val="000523B0"/>
    <w:rsid w:val="00056685"/>
    <w:rsid w:val="0006168E"/>
    <w:rsid w:val="00064337"/>
    <w:rsid w:val="00087D57"/>
    <w:rsid w:val="000919FA"/>
    <w:rsid w:val="0009526C"/>
    <w:rsid w:val="00096776"/>
    <w:rsid w:val="000A7BEE"/>
    <w:rsid w:val="000B1A93"/>
    <w:rsid w:val="000B70BD"/>
    <w:rsid w:val="000B7DF1"/>
    <w:rsid w:val="000C110F"/>
    <w:rsid w:val="000C32D7"/>
    <w:rsid w:val="000C38A7"/>
    <w:rsid w:val="000D1779"/>
    <w:rsid w:val="000D7760"/>
    <w:rsid w:val="000E0DF1"/>
    <w:rsid w:val="000E280D"/>
    <w:rsid w:val="000E5DC5"/>
    <w:rsid w:val="000F57C7"/>
    <w:rsid w:val="000F589B"/>
    <w:rsid w:val="001005FA"/>
    <w:rsid w:val="001252CE"/>
    <w:rsid w:val="00127650"/>
    <w:rsid w:val="001411B9"/>
    <w:rsid w:val="00143684"/>
    <w:rsid w:val="001625B1"/>
    <w:rsid w:val="00171251"/>
    <w:rsid w:val="00172A27"/>
    <w:rsid w:val="0017461A"/>
    <w:rsid w:val="00176598"/>
    <w:rsid w:val="001970C9"/>
    <w:rsid w:val="00197745"/>
    <w:rsid w:val="001A1D51"/>
    <w:rsid w:val="001C3A17"/>
    <w:rsid w:val="001D3131"/>
    <w:rsid w:val="001E0394"/>
    <w:rsid w:val="001E1B5F"/>
    <w:rsid w:val="001E2D4E"/>
    <w:rsid w:val="001F0A63"/>
    <w:rsid w:val="00200F38"/>
    <w:rsid w:val="00211831"/>
    <w:rsid w:val="0021595C"/>
    <w:rsid w:val="00216136"/>
    <w:rsid w:val="0022062F"/>
    <w:rsid w:val="00222025"/>
    <w:rsid w:val="00224F1B"/>
    <w:rsid w:val="00230546"/>
    <w:rsid w:val="00237E73"/>
    <w:rsid w:val="0024272C"/>
    <w:rsid w:val="002460D4"/>
    <w:rsid w:val="0024765D"/>
    <w:rsid w:val="00247C59"/>
    <w:rsid w:val="002517F0"/>
    <w:rsid w:val="00257240"/>
    <w:rsid w:val="00261EC6"/>
    <w:rsid w:val="002620D7"/>
    <w:rsid w:val="0026215E"/>
    <w:rsid w:val="00275AEB"/>
    <w:rsid w:val="00281518"/>
    <w:rsid w:val="00286DE3"/>
    <w:rsid w:val="00291F5D"/>
    <w:rsid w:val="002A4452"/>
    <w:rsid w:val="002A7FB3"/>
    <w:rsid w:val="002C32C3"/>
    <w:rsid w:val="002C68D0"/>
    <w:rsid w:val="002C7466"/>
    <w:rsid w:val="002D6276"/>
    <w:rsid w:val="002D6D34"/>
    <w:rsid w:val="002D7926"/>
    <w:rsid w:val="002F044B"/>
    <w:rsid w:val="002F1576"/>
    <w:rsid w:val="002F40E7"/>
    <w:rsid w:val="002F4C0F"/>
    <w:rsid w:val="002F7E13"/>
    <w:rsid w:val="00301C7E"/>
    <w:rsid w:val="00314E0B"/>
    <w:rsid w:val="0031601E"/>
    <w:rsid w:val="00326102"/>
    <w:rsid w:val="003346AB"/>
    <w:rsid w:val="0034670D"/>
    <w:rsid w:val="00347599"/>
    <w:rsid w:val="00355D20"/>
    <w:rsid w:val="00362A47"/>
    <w:rsid w:val="00372528"/>
    <w:rsid w:val="00376897"/>
    <w:rsid w:val="00376B03"/>
    <w:rsid w:val="00380C41"/>
    <w:rsid w:val="00382927"/>
    <w:rsid w:val="00383F32"/>
    <w:rsid w:val="00386EBB"/>
    <w:rsid w:val="00387900"/>
    <w:rsid w:val="00390930"/>
    <w:rsid w:val="00395D5D"/>
    <w:rsid w:val="003A0EA0"/>
    <w:rsid w:val="003A70DD"/>
    <w:rsid w:val="003B0E6D"/>
    <w:rsid w:val="003B6CAC"/>
    <w:rsid w:val="003D3E59"/>
    <w:rsid w:val="003D4124"/>
    <w:rsid w:val="003D43FC"/>
    <w:rsid w:val="003D667F"/>
    <w:rsid w:val="003E03EF"/>
    <w:rsid w:val="003E1B42"/>
    <w:rsid w:val="003E40DC"/>
    <w:rsid w:val="003E6203"/>
    <w:rsid w:val="003F57AE"/>
    <w:rsid w:val="003F593E"/>
    <w:rsid w:val="00400169"/>
    <w:rsid w:val="00403C0B"/>
    <w:rsid w:val="00410511"/>
    <w:rsid w:val="00412A2F"/>
    <w:rsid w:val="004133A7"/>
    <w:rsid w:val="0041461F"/>
    <w:rsid w:val="00414FAA"/>
    <w:rsid w:val="0041628D"/>
    <w:rsid w:val="00420560"/>
    <w:rsid w:val="00422DFE"/>
    <w:rsid w:val="00425F22"/>
    <w:rsid w:val="00435C34"/>
    <w:rsid w:val="004401A0"/>
    <w:rsid w:val="00447A7F"/>
    <w:rsid w:val="004520E0"/>
    <w:rsid w:val="00452E86"/>
    <w:rsid w:val="004538E5"/>
    <w:rsid w:val="00466370"/>
    <w:rsid w:val="00470F2B"/>
    <w:rsid w:val="00480F2E"/>
    <w:rsid w:val="00493ADC"/>
    <w:rsid w:val="004A1EC1"/>
    <w:rsid w:val="004A3437"/>
    <w:rsid w:val="004A645E"/>
    <w:rsid w:val="004A7E69"/>
    <w:rsid w:val="004E698D"/>
    <w:rsid w:val="004F01C5"/>
    <w:rsid w:val="005019E5"/>
    <w:rsid w:val="00504388"/>
    <w:rsid w:val="00507654"/>
    <w:rsid w:val="00512850"/>
    <w:rsid w:val="005324AA"/>
    <w:rsid w:val="00556BF8"/>
    <w:rsid w:val="00562E50"/>
    <w:rsid w:val="0057165D"/>
    <w:rsid w:val="0057352C"/>
    <w:rsid w:val="00573FC9"/>
    <w:rsid w:val="00581FB0"/>
    <w:rsid w:val="00582542"/>
    <w:rsid w:val="0058563C"/>
    <w:rsid w:val="0059182D"/>
    <w:rsid w:val="005925AA"/>
    <w:rsid w:val="005942C3"/>
    <w:rsid w:val="005A149A"/>
    <w:rsid w:val="005B15FF"/>
    <w:rsid w:val="005B4663"/>
    <w:rsid w:val="005C1185"/>
    <w:rsid w:val="005D4EA7"/>
    <w:rsid w:val="005F1353"/>
    <w:rsid w:val="00601DA6"/>
    <w:rsid w:val="006068D1"/>
    <w:rsid w:val="0060695F"/>
    <w:rsid w:val="006131E7"/>
    <w:rsid w:val="0064066C"/>
    <w:rsid w:val="006544A0"/>
    <w:rsid w:val="0066134B"/>
    <w:rsid w:val="006656D8"/>
    <w:rsid w:val="00683E27"/>
    <w:rsid w:val="00685699"/>
    <w:rsid w:val="006A30DB"/>
    <w:rsid w:val="006A35AD"/>
    <w:rsid w:val="006A4462"/>
    <w:rsid w:val="006C346A"/>
    <w:rsid w:val="006C4682"/>
    <w:rsid w:val="006D4A73"/>
    <w:rsid w:val="006E0C1B"/>
    <w:rsid w:val="006E4259"/>
    <w:rsid w:val="006F47F3"/>
    <w:rsid w:val="006F598A"/>
    <w:rsid w:val="0070086F"/>
    <w:rsid w:val="00700FDA"/>
    <w:rsid w:val="00702443"/>
    <w:rsid w:val="00716EB3"/>
    <w:rsid w:val="007176C8"/>
    <w:rsid w:val="007239B7"/>
    <w:rsid w:val="007368B8"/>
    <w:rsid w:val="00737653"/>
    <w:rsid w:val="00745843"/>
    <w:rsid w:val="00746E57"/>
    <w:rsid w:val="00751E88"/>
    <w:rsid w:val="00752317"/>
    <w:rsid w:val="00753476"/>
    <w:rsid w:val="00770266"/>
    <w:rsid w:val="00775353"/>
    <w:rsid w:val="007756A9"/>
    <w:rsid w:val="0077696C"/>
    <w:rsid w:val="00777EA9"/>
    <w:rsid w:val="00781E45"/>
    <w:rsid w:val="00782E58"/>
    <w:rsid w:val="007949CC"/>
    <w:rsid w:val="007A5BA9"/>
    <w:rsid w:val="007C130B"/>
    <w:rsid w:val="007C2823"/>
    <w:rsid w:val="007C3780"/>
    <w:rsid w:val="007C4516"/>
    <w:rsid w:val="007C4FB1"/>
    <w:rsid w:val="007D47C5"/>
    <w:rsid w:val="007E6829"/>
    <w:rsid w:val="007F1E4C"/>
    <w:rsid w:val="007F3074"/>
    <w:rsid w:val="007F3D34"/>
    <w:rsid w:val="007F6BED"/>
    <w:rsid w:val="008001AD"/>
    <w:rsid w:val="00802D7C"/>
    <w:rsid w:val="00803293"/>
    <w:rsid w:val="00810968"/>
    <w:rsid w:val="00810F36"/>
    <w:rsid w:val="0081505A"/>
    <w:rsid w:val="00821D76"/>
    <w:rsid w:val="008329E1"/>
    <w:rsid w:val="0084172C"/>
    <w:rsid w:val="008436A8"/>
    <w:rsid w:val="00845A22"/>
    <w:rsid w:val="00860EE9"/>
    <w:rsid w:val="00861EC4"/>
    <w:rsid w:val="008653AB"/>
    <w:rsid w:val="008804F0"/>
    <w:rsid w:val="0088141B"/>
    <w:rsid w:val="0088174E"/>
    <w:rsid w:val="00881BE6"/>
    <w:rsid w:val="008A46C8"/>
    <w:rsid w:val="008A6C7B"/>
    <w:rsid w:val="008B017F"/>
    <w:rsid w:val="008B78E9"/>
    <w:rsid w:val="008D6CA0"/>
    <w:rsid w:val="008E03C9"/>
    <w:rsid w:val="008E123B"/>
    <w:rsid w:val="008E3067"/>
    <w:rsid w:val="008E5116"/>
    <w:rsid w:val="008E6521"/>
    <w:rsid w:val="008E6688"/>
    <w:rsid w:val="008E7795"/>
    <w:rsid w:val="008F04B0"/>
    <w:rsid w:val="00902644"/>
    <w:rsid w:val="00916BB3"/>
    <w:rsid w:val="00933C42"/>
    <w:rsid w:val="00934D8F"/>
    <w:rsid w:val="0095661C"/>
    <w:rsid w:val="00957111"/>
    <w:rsid w:val="00957C77"/>
    <w:rsid w:val="009658DE"/>
    <w:rsid w:val="00966DBA"/>
    <w:rsid w:val="009708E7"/>
    <w:rsid w:val="0097439A"/>
    <w:rsid w:val="0098375D"/>
    <w:rsid w:val="00983D9E"/>
    <w:rsid w:val="00985D4C"/>
    <w:rsid w:val="00996AD3"/>
    <w:rsid w:val="009A0C5B"/>
    <w:rsid w:val="009A4F1C"/>
    <w:rsid w:val="009B0703"/>
    <w:rsid w:val="009B68F2"/>
    <w:rsid w:val="009D50F9"/>
    <w:rsid w:val="009E50BF"/>
    <w:rsid w:val="009F5063"/>
    <w:rsid w:val="00A031AE"/>
    <w:rsid w:val="00A03AB0"/>
    <w:rsid w:val="00A1170A"/>
    <w:rsid w:val="00A11912"/>
    <w:rsid w:val="00A123D5"/>
    <w:rsid w:val="00A1294F"/>
    <w:rsid w:val="00A13BE4"/>
    <w:rsid w:val="00A140A5"/>
    <w:rsid w:val="00A35949"/>
    <w:rsid w:val="00A41358"/>
    <w:rsid w:val="00A50656"/>
    <w:rsid w:val="00A604DF"/>
    <w:rsid w:val="00A63874"/>
    <w:rsid w:val="00A64A04"/>
    <w:rsid w:val="00A6592C"/>
    <w:rsid w:val="00A65B91"/>
    <w:rsid w:val="00A66411"/>
    <w:rsid w:val="00A673FA"/>
    <w:rsid w:val="00A74E20"/>
    <w:rsid w:val="00A83C9E"/>
    <w:rsid w:val="00A84628"/>
    <w:rsid w:val="00A92CF4"/>
    <w:rsid w:val="00A9414F"/>
    <w:rsid w:val="00AA04D9"/>
    <w:rsid w:val="00AC16B0"/>
    <w:rsid w:val="00AC61E3"/>
    <w:rsid w:val="00AC781A"/>
    <w:rsid w:val="00AF1D6C"/>
    <w:rsid w:val="00B22E97"/>
    <w:rsid w:val="00B35C66"/>
    <w:rsid w:val="00B434E8"/>
    <w:rsid w:val="00B442DF"/>
    <w:rsid w:val="00B612E7"/>
    <w:rsid w:val="00B62AA2"/>
    <w:rsid w:val="00B63215"/>
    <w:rsid w:val="00B67C41"/>
    <w:rsid w:val="00B76793"/>
    <w:rsid w:val="00B771EB"/>
    <w:rsid w:val="00B82319"/>
    <w:rsid w:val="00B82E76"/>
    <w:rsid w:val="00B83416"/>
    <w:rsid w:val="00B85347"/>
    <w:rsid w:val="00B87E05"/>
    <w:rsid w:val="00B975A1"/>
    <w:rsid w:val="00BB0CE6"/>
    <w:rsid w:val="00BB0EF7"/>
    <w:rsid w:val="00BB11D4"/>
    <w:rsid w:val="00BB33C7"/>
    <w:rsid w:val="00BC77CC"/>
    <w:rsid w:val="00BD487F"/>
    <w:rsid w:val="00BF12B2"/>
    <w:rsid w:val="00BF6757"/>
    <w:rsid w:val="00C01CF7"/>
    <w:rsid w:val="00C1403D"/>
    <w:rsid w:val="00C20075"/>
    <w:rsid w:val="00C25822"/>
    <w:rsid w:val="00C27470"/>
    <w:rsid w:val="00C347B3"/>
    <w:rsid w:val="00C36E42"/>
    <w:rsid w:val="00C37374"/>
    <w:rsid w:val="00C374A6"/>
    <w:rsid w:val="00C45A9A"/>
    <w:rsid w:val="00C477AB"/>
    <w:rsid w:val="00C56692"/>
    <w:rsid w:val="00C641D3"/>
    <w:rsid w:val="00C6503D"/>
    <w:rsid w:val="00C66C67"/>
    <w:rsid w:val="00C9292F"/>
    <w:rsid w:val="00C95686"/>
    <w:rsid w:val="00C95E49"/>
    <w:rsid w:val="00CA2572"/>
    <w:rsid w:val="00CB014C"/>
    <w:rsid w:val="00CB4228"/>
    <w:rsid w:val="00CB70E6"/>
    <w:rsid w:val="00CC32C8"/>
    <w:rsid w:val="00CC7B06"/>
    <w:rsid w:val="00CD6D6A"/>
    <w:rsid w:val="00CE0F98"/>
    <w:rsid w:val="00CE215F"/>
    <w:rsid w:val="00CE222A"/>
    <w:rsid w:val="00D032D5"/>
    <w:rsid w:val="00D1704B"/>
    <w:rsid w:val="00D337FD"/>
    <w:rsid w:val="00D37E25"/>
    <w:rsid w:val="00D5055E"/>
    <w:rsid w:val="00D53355"/>
    <w:rsid w:val="00D5561F"/>
    <w:rsid w:val="00D7726F"/>
    <w:rsid w:val="00DA7780"/>
    <w:rsid w:val="00DB2FF2"/>
    <w:rsid w:val="00DB4657"/>
    <w:rsid w:val="00DB5581"/>
    <w:rsid w:val="00DB6088"/>
    <w:rsid w:val="00DB6A82"/>
    <w:rsid w:val="00DD76FA"/>
    <w:rsid w:val="00DE1C62"/>
    <w:rsid w:val="00DE35FB"/>
    <w:rsid w:val="00DE5BCE"/>
    <w:rsid w:val="00DF079E"/>
    <w:rsid w:val="00DF1137"/>
    <w:rsid w:val="00DF14E2"/>
    <w:rsid w:val="00DF18D4"/>
    <w:rsid w:val="00DF7798"/>
    <w:rsid w:val="00E20715"/>
    <w:rsid w:val="00E20B9C"/>
    <w:rsid w:val="00E2100B"/>
    <w:rsid w:val="00E229CC"/>
    <w:rsid w:val="00E235CF"/>
    <w:rsid w:val="00E32FCE"/>
    <w:rsid w:val="00E4072E"/>
    <w:rsid w:val="00E46271"/>
    <w:rsid w:val="00E56B60"/>
    <w:rsid w:val="00E60397"/>
    <w:rsid w:val="00E65702"/>
    <w:rsid w:val="00E85C6E"/>
    <w:rsid w:val="00E9067B"/>
    <w:rsid w:val="00E9195F"/>
    <w:rsid w:val="00E958E4"/>
    <w:rsid w:val="00E96B1B"/>
    <w:rsid w:val="00EA03DC"/>
    <w:rsid w:val="00EA27E5"/>
    <w:rsid w:val="00EA3426"/>
    <w:rsid w:val="00EA433E"/>
    <w:rsid w:val="00EA57A8"/>
    <w:rsid w:val="00EB17F7"/>
    <w:rsid w:val="00EB289E"/>
    <w:rsid w:val="00EB527A"/>
    <w:rsid w:val="00EC1306"/>
    <w:rsid w:val="00EC29D7"/>
    <w:rsid w:val="00EC7240"/>
    <w:rsid w:val="00ED42B1"/>
    <w:rsid w:val="00ED4FCC"/>
    <w:rsid w:val="00EF3B55"/>
    <w:rsid w:val="00F010BD"/>
    <w:rsid w:val="00F0263B"/>
    <w:rsid w:val="00F07762"/>
    <w:rsid w:val="00F124AE"/>
    <w:rsid w:val="00F14A75"/>
    <w:rsid w:val="00F15CAE"/>
    <w:rsid w:val="00F17FE1"/>
    <w:rsid w:val="00F20F72"/>
    <w:rsid w:val="00F2355D"/>
    <w:rsid w:val="00F2617A"/>
    <w:rsid w:val="00F42E3A"/>
    <w:rsid w:val="00F44487"/>
    <w:rsid w:val="00F523FA"/>
    <w:rsid w:val="00F57955"/>
    <w:rsid w:val="00F74669"/>
    <w:rsid w:val="00F74C28"/>
    <w:rsid w:val="00F76A5C"/>
    <w:rsid w:val="00F82FD1"/>
    <w:rsid w:val="00F95BE5"/>
    <w:rsid w:val="00FA1815"/>
    <w:rsid w:val="00FB36DA"/>
    <w:rsid w:val="00FB53FF"/>
    <w:rsid w:val="00FB5786"/>
    <w:rsid w:val="00FC52BE"/>
    <w:rsid w:val="00FE1C22"/>
    <w:rsid w:val="011001F0"/>
    <w:rsid w:val="01DB0283"/>
    <w:rsid w:val="032348AB"/>
    <w:rsid w:val="03465822"/>
    <w:rsid w:val="03741B99"/>
    <w:rsid w:val="03C055D4"/>
    <w:rsid w:val="041D1F18"/>
    <w:rsid w:val="05422780"/>
    <w:rsid w:val="060707DD"/>
    <w:rsid w:val="067F17E4"/>
    <w:rsid w:val="06B23D5E"/>
    <w:rsid w:val="06BE596A"/>
    <w:rsid w:val="072D4437"/>
    <w:rsid w:val="07727EEC"/>
    <w:rsid w:val="082D0D5E"/>
    <w:rsid w:val="084A43DC"/>
    <w:rsid w:val="08646365"/>
    <w:rsid w:val="08F5269D"/>
    <w:rsid w:val="094F5B89"/>
    <w:rsid w:val="0975770E"/>
    <w:rsid w:val="09D13C82"/>
    <w:rsid w:val="09F233A9"/>
    <w:rsid w:val="0A204648"/>
    <w:rsid w:val="0A8B505F"/>
    <w:rsid w:val="0B117F18"/>
    <w:rsid w:val="0B6A2ADF"/>
    <w:rsid w:val="0B7A14D5"/>
    <w:rsid w:val="0BDE3B0E"/>
    <w:rsid w:val="0BE0521C"/>
    <w:rsid w:val="0C002F61"/>
    <w:rsid w:val="0C34445D"/>
    <w:rsid w:val="0C5019B2"/>
    <w:rsid w:val="0CD8663C"/>
    <w:rsid w:val="0CF04ED1"/>
    <w:rsid w:val="0E0332A9"/>
    <w:rsid w:val="0E0B0C75"/>
    <w:rsid w:val="0E125E9A"/>
    <w:rsid w:val="0E8007D6"/>
    <w:rsid w:val="0F8C306D"/>
    <w:rsid w:val="0FB26AE6"/>
    <w:rsid w:val="0FBE01A5"/>
    <w:rsid w:val="10591EE8"/>
    <w:rsid w:val="11686414"/>
    <w:rsid w:val="1173669F"/>
    <w:rsid w:val="11BE75E2"/>
    <w:rsid w:val="11EE4584"/>
    <w:rsid w:val="12055F55"/>
    <w:rsid w:val="120C7C36"/>
    <w:rsid w:val="128D4A11"/>
    <w:rsid w:val="13477D30"/>
    <w:rsid w:val="13911466"/>
    <w:rsid w:val="13A7611E"/>
    <w:rsid w:val="14257FA7"/>
    <w:rsid w:val="145C3C6A"/>
    <w:rsid w:val="151C4B73"/>
    <w:rsid w:val="16075904"/>
    <w:rsid w:val="16317C47"/>
    <w:rsid w:val="17241C75"/>
    <w:rsid w:val="17794C1F"/>
    <w:rsid w:val="179E35EE"/>
    <w:rsid w:val="179F4858"/>
    <w:rsid w:val="17C8769A"/>
    <w:rsid w:val="17DF3BC6"/>
    <w:rsid w:val="17F40566"/>
    <w:rsid w:val="18DC4BFC"/>
    <w:rsid w:val="19107B87"/>
    <w:rsid w:val="192C10D8"/>
    <w:rsid w:val="19B8756E"/>
    <w:rsid w:val="1A1237AF"/>
    <w:rsid w:val="1A683A18"/>
    <w:rsid w:val="1AC75042"/>
    <w:rsid w:val="1B006F34"/>
    <w:rsid w:val="1CA97C82"/>
    <w:rsid w:val="1DB250B7"/>
    <w:rsid w:val="1DF364B5"/>
    <w:rsid w:val="1DF4076D"/>
    <w:rsid w:val="1DF83C7D"/>
    <w:rsid w:val="1EEF00B9"/>
    <w:rsid w:val="1F925C1F"/>
    <w:rsid w:val="20095B81"/>
    <w:rsid w:val="202B40FA"/>
    <w:rsid w:val="209B6E28"/>
    <w:rsid w:val="20A1779F"/>
    <w:rsid w:val="20B23337"/>
    <w:rsid w:val="21CA2570"/>
    <w:rsid w:val="22CB3C4E"/>
    <w:rsid w:val="23202FA6"/>
    <w:rsid w:val="2323220F"/>
    <w:rsid w:val="237F406B"/>
    <w:rsid w:val="23A72FCE"/>
    <w:rsid w:val="24315EEF"/>
    <w:rsid w:val="2438471B"/>
    <w:rsid w:val="25B5449B"/>
    <w:rsid w:val="25C655DD"/>
    <w:rsid w:val="26643BFE"/>
    <w:rsid w:val="2671562B"/>
    <w:rsid w:val="26FC021C"/>
    <w:rsid w:val="273E3781"/>
    <w:rsid w:val="27BF32BE"/>
    <w:rsid w:val="27F3161F"/>
    <w:rsid w:val="288B6D4C"/>
    <w:rsid w:val="28E057E5"/>
    <w:rsid w:val="28F1218A"/>
    <w:rsid w:val="290401B8"/>
    <w:rsid w:val="29AA1DB7"/>
    <w:rsid w:val="29AF6F4C"/>
    <w:rsid w:val="2A2E715A"/>
    <w:rsid w:val="2A46021F"/>
    <w:rsid w:val="2A497822"/>
    <w:rsid w:val="2AC47B16"/>
    <w:rsid w:val="2AF61E5D"/>
    <w:rsid w:val="2BB56D0E"/>
    <w:rsid w:val="2C020634"/>
    <w:rsid w:val="2C214055"/>
    <w:rsid w:val="2C780D13"/>
    <w:rsid w:val="2CA10EC7"/>
    <w:rsid w:val="2D4E3C7F"/>
    <w:rsid w:val="2D5203DB"/>
    <w:rsid w:val="2D55517C"/>
    <w:rsid w:val="2E245E8E"/>
    <w:rsid w:val="2E8B728F"/>
    <w:rsid w:val="2ED77B06"/>
    <w:rsid w:val="2FF41798"/>
    <w:rsid w:val="30625475"/>
    <w:rsid w:val="30A804F4"/>
    <w:rsid w:val="30B71C36"/>
    <w:rsid w:val="31895970"/>
    <w:rsid w:val="31937A7B"/>
    <w:rsid w:val="31B95F69"/>
    <w:rsid w:val="31C25049"/>
    <w:rsid w:val="323A4C76"/>
    <w:rsid w:val="32C54D96"/>
    <w:rsid w:val="32C851B1"/>
    <w:rsid w:val="333A41AC"/>
    <w:rsid w:val="334375E4"/>
    <w:rsid w:val="336E0939"/>
    <w:rsid w:val="340C2885"/>
    <w:rsid w:val="341600F9"/>
    <w:rsid w:val="34343B09"/>
    <w:rsid w:val="347F69DC"/>
    <w:rsid w:val="349C7D43"/>
    <w:rsid w:val="34A7043B"/>
    <w:rsid w:val="35791238"/>
    <w:rsid w:val="357F49C9"/>
    <w:rsid w:val="35FB2226"/>
    <w:rsid w:val="36722E5C"/>
    <w:rsid w:val="369F7680"/>
    <w:rsid w:val="37653C28"/>
    <w:rsid w:val="37830C3B"/>
    <w:rsid w:val="37E63AB5"/>
    <w:rsid w:val="381A773A"/>
    <w:rsid w:val="39507E77"/>
    <w:rsid w:val="39700F28"/>
    <w:rsid w:val="39CB7668"/>
    <w:rsid w:val="3A00765E"/>
    <w:rsid w:val="3A2171B1"/>
    <w:rsid w:val="3A891740"/>
    <w:rsid w:val="3B00481A"/>
    <w:rsid w:val="3B3F2D0A"/>
    <w:rsid w:val="3B6F4C85"/>
    <w:rsid w:val="3B8012A0"/>
    <w:rsid w:val="3B88771A"/>
    <w:rsid w:val="3BED708C"/>
    <w:rsid w:val="3BEF0EBF"/>
    <w:rsid w:val="3C0670D3"/>
    <w:rsid w:val="3C1B789E"/>
    <w:rsid w:val="3C2D0C90"/>
    <w:rsid w:val="3CCC507A"/>
    <w:rsid w:val="3CCF1F21"/>
    <w:rsid w:val="3D0120D8"/>
    <w:rsid w:val="3D10657D"/>
    <w:rsid w:val="3D394BF1"/>
    <w:rsid w:val="3D567E34"/>
    <w:rsid w:val="3D6B3957"/>
    <w:rsid w:val="3E4D1237"/>
    <w:rsid w:val="3E9747B5"/>
    <w:rsid w:val="3EF43C23"/>
    <w:rsid w:val="3F2676D9"/>
    <w:rsid w:val="3F5F7351"/>
    <w:rsid w:val="3F7312D6"/>
    <w:rsid w:val="4039318F"/>
    <w:rsid w:val="42BC698B"/>
    <w:rsid w:val="42E04282"/>
    <w:rsid w:val="448E0F5F"/>
    <w:rsid w:val="452D3B07"/>
    <w:rsid w:val="456A5FCD"/>
    <w:rsid w:val="456C19C4"/>
    <w:rsid w:val="458F17EC"/>
    <w:rsid w:val="45E23D27"/>
    <w:rsid w:val="463C2446"/>
    <w:rsid w:val="46681526"/>
    <w:rsid w:val="46990B17"/>
    <w:rsid w:val="47C3656A"/>
    <w:rsid w:val="483D15E1"/>
    <w:rsid w:val="48ED6392"/>
    <w:rsid w:val="495661C3"/>
    <w:rsid w:val="495F42EA"/>
    <w:rsid w:val="49620B7C"/>
    <w:rsid w:val="497B2D98"/>
    <w:rsid w:val="49AA4153"/>
    <w:rsid w:val="49E664DF"/>
    <w:rsid w:val="4A261CD7"/>
    <w:rsid w:val="4A6D507F"/>
    <w:rsid w:val="4A911F9B"/>
    <w:rsid w:val="4BC34CB2"/>
    <w:rsid w:val="4C7E32ED"/>
    <w:rsid w:val="4D9047DF"/>
    <w:rsid w:val="4DE24F9C"/>
    <w:rsid w:val="4E3229A2"/>
    <w:rsid w:val="4E641B2E"/>
    <w:rsid w:val="4F2E29BF"/>
    <w:rsid w:val="4FAE7D69"/>
    <w:rsid w:val="4FBA6CD7"/>
    <w:rsid w:val="507B0716"/>
    <w:rsid w:val="50AD57CE"/>
    <w:rsid w:val="50E07518"/>
    <w:rsid w:val="511F04A5"/>
    <w:rsid w:val="51242B86"/>
    <w:rsid w:val="51511167"/>
    <w:rsid w:val="51A30702"/>
    <w:rsid w:val="51ED1E8E"/>
    <w:rsid w:val="523303C9"/>
    <w:rsid w:val="524E534A"/>
    <w:rsid w:val="52BD6DD9"/>
    <w:rsid w:val="52D05D21"/>
    <w:rsid w:val="52DF71EF"/>
    <w:rsid w:val="5313758B"/>
    <w:rsid w:val="538C69C3"/>
    <w:rsid w:val="53AD2437"/>
    <w:rsid w:val="541F10CB"/>
    <w:rsid w:val="54330A77"/>
    <w:rsid w:val="54380719"/>
    <w:rsid w:val="54A051B8"/>
    <w:rsid w:val="555D21D7"/>
    <w:rsid w:val="556F58FB"/>
    <w:rsid w:val="558A7190"/>
    <w:rsid w:val="55C7008D"/>
    <w:rsid w:val="562E2DB4"/>
    <w:rsid w:val="57AB660A"/>
    <w:rsid w:val="580863D8"/>
    <w:rsid w:val="58254B7B"/>
    <w:rsid w:val="58646800"/>
    <w:rsid w:val="58871392"/>
    <w:rsid w:val="589F0AD8"/>
    <w:rsid w:val="595B3551"/>
    <w:rsid w:val="59627412"/>
    <w:rsid w:val="59BA68A2"/>
    <w:rsid w:val="5ACC6B10"/>
    <w:rsid w:val="5ACF6AB5"/>
    <w:rsid w:val="5AF076C2"/>
    <w:rsid w:val="5B8422F7"/>
    <w:rsid w:val="5BA33A1C"/>
    <w:rsid w:val="5C3F3FFB"/>
    <w:rsid w:val="5C597819"/>
    <w:rsid w:val="5C967671"/>
    <w:rsid w:val="5D5A3B31"/>
    <w:rsid w:val="5DAD3A79"/>
    <w:rsid w:val="5DCD1758"/>
    <w:rsid w:val="5E574FA8"/>
    <w:rsid w:val="5E8D1775"/>
    <w:rsid w:val="5E9465B6"/>
    <w:rsid w:val="5F08128D"/>
    <w:rsid w:val="5F08322C"/>
    <w:rsid w:val="5F873C50"/>
    <w:rsid w:val="5FC330A1"/>
    <w:rsid w:val="5FC53D74"/>
    <w:rsid w:val="602101AB"/>
    <w:rsid w:val="60905B6C"/>
    <w:rsid w:val="60B15181"/>
    <w:rsid w:val="60BB37D8"/>
    <w:rsid w:val="60C8673E"/>
    <w:rsid w:val="61486A46"/>
    <w:rsid w:val="61F41DFF"/>
    <w:rsid w:val="635D5B0E"/>
    <w:rsid w:val="63F60D77"/>
    <w:rsid w:val="64687828"/>
    <w:rsid w:val="64A7669B"/>
    <w:rsid w:val="64B2391D"/>
    <w:rsid w:val="64B65680"/>
    <w:rsid w:val="65464803"/>
    <w:rsid w:val="65DC1B12"/>
    <w:rsid w:val="66745D68"/>
    <w:rsid w:val="671C384B"/>
    <w:rsid w:val="68015D6B"/>
    <w:rsid w:val="681D4A76"/>
    <w:rsid w:val="69266272"/>
    <w:rsid w:val="699D69A6"/>
    <w:rsid w:val="6A420C2A"/>
    <w:rsid w:val="6B476531"/>
    <w:rsid w:val="6B85733F"/>
    <w:rsid w:val="6BE96218"/>
    <w:rsid w:val="6BF95DFB"/>
    <w:rsid w:val="6C180259"/>
    <w:rsid w:val="6C2E30E4"/>
    <w:rsid w:val="6C5253C1"/>
    <w:rsid w:val="6C79796F"/>
    <w:rsid w:val="6C9D5C8C"/>
    <w:rsid w:val="6CF1733F"/>
    <w:rsid w:val="6D0D21EB"/>
    <w:rsid w:val="6D911044"/>
    <w:rsid w:val="6DAE4ED6"/>
    <w:rsid w:val="6DBE0F5A"/>
    <w:rsid w:val="6E097F2E"/>
    <w:rsid w:val="6EBC2C77"/>
    <w:rsid w:val="6EC854BE"/>
    <w:rsid w:val="6FD81D7F"/>
    <w:rsid w:val="70BD04CD"/>
    <w:rsid w:val="711427DE"/>
    <w:rsid w:val="714E4514"/>
    <w:rsid w:val="71836296"/>
    <w:rsid w:val="720D1E5C"/>
    <w:rsid w:val="728104DD"/>
    <w:rsid w:val="739A40A9"/>
    <w:rsid w:val="73BB2A23"/>
    <w:rsid w:val="74360F69"/>
    <w:rsid w:val="74B35022"/>
    <w:rsid w:val="74C72569"/>
    <w:rsid w:val="74F01185"/>
    <w:rsid w:val="75386EA7"/>
    <w:rsid w:val="76040B5B"/>
    <w:rsid w:val="76B369B9"/>
    <w:rsid w:val="77002186"/>
    <w:rsid w:val="77466101"/>
    <w:rsid w:val="776215B2"/>
    <w:rsid w:val="784871AF"/>
    <w:rsid w:val="785A7E99"/>
    <w:rsid w:val="78827754"/>
    <w:rsid w:val="78D6242A"/>
    <w:rsid w:val="791D2E63"/>
    <w:rsid w:val="79A72BDF"/>
    <w:rsid w:val="79AE6EAC"/>
    <w:rsid w:val="79B20EA9"/>
    <w:rsid w:val="79B71311"/>
    <w:rsid w:val="79C06C32"/>
    <w:rsid w:val="79FC47FF"/>
    <w:rsid w:val="7A404A50"/>
    <w:rsid w:val="7AF32215"/>
    <w:rsid w:val="7B2365E5"/>
    <w:rsid w:val="7B26441E"/>
    <w:rsid w:val="7BA646F8"/>
    <w:rsid w:val="7BE00DA4"/>
    <w:rsid w:val="7D7A7DE3"/>
    <w:rsid w:val="7D8B6F20"/>
    <w:rsid w:val="7DAA29C3"/>
    <w:rsid w:val="7EB156A1"/>
    <w:rsid w:val="7EF70F9E"/>
    <w:rsid w:val="7F2E620B"/>
    <w:rsid w:val="7F340489"/>
    <w:rsid w:val="7F5943CF"/>
    <w:rsid w:val="7F640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5">
    <w:name w:val="heading 1"/>
    <w:basedOn w:val="1"/>
    <w:next w:val="1"/>
    <w:link w:val="35"/>
    <w:autoRedefine/>
    <w:qFormat/>
    <w:uiPriority w:val="0"/>
    <w:pPr>
      <w:outlineLvl w:val="0"/>
    </w:pPr>
  </w:style>
  <w:style w:type="paragraph" w:styleId="6">
    <w:name w:val="heading 2"/>
    <w:basedOn w:val="1"/>
    <w:next w:val="1"/>
    <w:link w:val="38"/>
    <w:autoRedefine/>
    <w:unhideWhenUsed/>
    <w:qFormat/>
    <w:uiPriority w:val="9"/>
    <w:pPr>
      <w:ind w:left="220" w:right="220" w:firstLine="602" w:firstLineChars="200"/>
      <w:outlineLvl w:val="1"/>
    </w:pPr>
  </w:style>
  <w:style w:type="character" w:default="1" w:styleId="24">
    <w:name w:val="Default Paragraph Font"/>
    <w:autoRedefine/>
    <w:unhideWhenUsed/>
    <w:qFormat/>
    <w:uiPriority w:val="1"/>
  </w:style>
  <w:style w:type="table" w:default="1" w:styleId="22">
    <w:name w:val="Normal Table"/>
    <w:autoRedefine/>
    <w:unhideWhenUsed/>
    <w:qFormat/>
    <w:uiPriority w:val="99"/>
    <w:tblPr>
      <w:tblCellMar>
        <w:top w:w="0" w:type="dxa"/>
        <w:left w:w="108" w:type="dxa"/>
        <w:bottom w:w="0" w:type="dxa"/>
        <w:right w:w="108" w:type="dxa"/>
      </w:tblCellMar>
    </w:tblPr>
  </w:style>
  <w:style w:type="paragraph" w:styleId="2">
    <w:name w:val="Body Text First Indent 2"/>
    <w:basedOn w:val="3"/>
    <w:next w:val="4"/>
    <w:link w:val="48"/>
    <w:autoRedefine/>
    <w:qFormat/>
    <w:uiPriority w:val="0"/>
    <w:pPr>
      <w:adjustRightInd/>
      <w:ind w:firstLine="420" w:firstLineChars="200"/>
    </w:pPr>
    <w:rPr>
      <w:rFonts w:asciiTheme="minorHAnsi" w:hAnsiTheme="minorHAnsi" w:eastAsiaTheme="minorEastAsia"/>
      <w:kern w:val="2"/>
    </w:rPr>
  </w:style>
  <w:style w:type="paragraph" w:styleId="3">
    <w:name w:val="Body Text Indent"/>
    <w:basedOn w:val="1"/>
    <w:link w:val="49"/>
    <w:autoRedefine/>
    <w:unhideWhenUsed/>
    <w:qFormat/>
    <w:uiPriority w:val="0"/>
    <w:pPr>
      <w:spacing w:after="120"/>
      <w:ind w:left="420" w:leftChars="200"/>
    </w:pPr>
  </w:style>
  <w:style w:type="paragraph" w:styleId="4">
    <w:name w:val="Body Text"/>
    <w:basedOn w:val="1"/>
    <w:next w:val="1"/>
    <w:autoRedefine/>
    <w:qFormat/>
    <w:uiPriority w:val="0"/>
    <w:pPr>
      <w:spacing w:line="360" w:lineRule="auto"/>
    </w:pPr>
    <w:rPr>
      <w:color w:val="FF0000"/>
      <w:sz w:val="20"/>
    </w:rPr>
  </w:style>
  <w:style w:type="paragraph" w:styleId="7">
    <w:name w:val="Normal Indent"/>
    <w:basedOn w:val="1"/>
    <w:autoRedefine/>
    <w:qFormat/>
    <w:uiPriority w:val="0"/>
    <w:pPr>
      <w:ind w:firstLine="420" w:firstLineChars="200"/>
    </w:pPr>
  </w:style>
  <w:style w:type="paragraph" w:styleId="8">
    <w:name w:val="Document Map"/>
    <w:basedOn w:val="1"/>
    <w:link w:val="43"/>
    <w:autoRedefine/>
    <w:qFormat/>
    <w:uiPriority w:val="0"/>
    <w:pPr>
      <w:widowControl w:val="0"/>
      <w:adjustRightInd/>
      <w:snapToGrid/>
      <w:spacing w:after="0"/>
      <w:jc w:val="both"/>
    </w:pPr>
    <w:rPr>
      <w:rFonts w:ascii="宋体" w:hAnsi="Times New Roman" w:eastAsia="宋体" w:cs="Times New Roman"/>
      <w:kern w:val="2"/>
      <w:sz w:val="18"/>
      <w:szCs w:val="18"/>
    </w:rPr>
  </w:style>
  <w:style w:type="paragraph" w:styleId="9">
    <w:name w:val="annotation text"/>
    <w:basedOn w:val="1"/>
    <w:link w:val="33"/>
    <w:autoRedefine/>
    <w:qFormat/>
    <w:uiPriority w:val="0"/>
    <w:rPr>
      <w:rFonts w:ascii="Times New Roman" w:hAnsi="Times New Roman"/>
    </w:rPr>
  </w:style>
  <w:style w:type="paragraph" w:styleId="10">
    <w:name w:val="Plain Text"/>
    <w:basedOn w:val="1"/>
    <w:autoRedefine/>
    <w:qFormat/>
    <w:uiPriority w:val="0"/>
    <w:rPr>
      <w:rFonts w:ascii="宋体" w:hAnsi="Courier New"/>
      <w:sz w:val="20"/>
      <w:szCs w:val="21"/>
    </w:rPr>
  </w:style>
  <w:style w:type="paragraph" w:styleId="11">
    <w:name w:val="Body Text Indent 2"/>
    <w:basedOn w:val="1"/>
    <w:link w:val="37"/>
    <w:autoRedefine/>
    <w:qFormat/>
    <w:uiPriority w:val="0"/>
    <w:pPr>
      <w:spacing w:after="120" w:line="480" w:lineRule="auto"/>
      <w:ind w:left="420" w:leftChars="200"/>
    </w:pPr>
  </w:style>
  <w:style w:type="paragraph" w:styleId="12">
    <w:name w:val="Balloon Text"/>
    <w:basedOn w:val="1"/>
    <w:link w:val="32"/>
    <w:autoRedefine/>
    <w:qFormat/>
    <w:uiPriority w:val="0"/>
    <w:pPr>
      <w:spacing w:after="0"/>
    </w:pPr>
    <w:rPr>
      <w:sz w:val="18"/>
      <w:szCs w:val="18"/>
    </w:rPr>
  </w:style>
  <w:style w:type="paragraph" w:styleId="13">
    <w:name w:val="footer"/>
    <w:basedOn w:val="1"/>
    <w:link w:val="47"/>
    <w:autoRedefine/>
    <w:unhideWhenUsed/>
    <w:qFormat/>
    <w:uiPriority w:val="99"/>
    <w:pPr>
      <w:tabs>
        <w:tab w:val="center" w:pos="4153"/>
        <w:tab w:val="right" w:pos="8306"/>
      </w:tabs>
    </w:pPr>
    <w:rPr>
      <w:sz w:val="18"/>
      <w:szCs w:val="18"/>
    </w:rPr>
  </w:style>
  <w:style w:type="paragraph" w:styleId="14">
    <w:name w:val="header"/>
    <w:basedOn w:val="1"/>
    <w:autoRedefine/>
    <w:unhideWhenUsed/>
    <w:qFormat/>
    <w:uiPriority w:val="0"/>
    <w:pPr>
      <w:pBdr>
        <w:bottom w:val="single" w:color="auto" w:sz="6" w:space="1"/>
      </w:pBdr>
      <w:tabs>
        <w:tab w:val="center" w:pos="4153"/>
        <w:tab w:val="right" w:pos="8306"/>
      </w:tabs>
      <w:jc w:val="center"/>
    </w:pPr>
    <w:rPr>
      <w:sz w:val="18"/>
      <w:szCs w:val="18"/>
    </w:rPr>
  </w:style>
  <w:style w:type="paragraph" w:styleId="15">
    <w:name w:val="toc 1"/>
    <w:basedOn w:val="1"/>
    <w:next w:val="1"/>
    <w:autoRedefine/>
    <w:qFormat/>
    <w:uiPriority w:val="39"/>
  </w:style>
  <w:style w:type="paragraph" w:styleId="16">
    <w:name w:val="Subtitle"/>
    <w:basedOn w:val="1"/>
    <w:next w:val="1"/>
    <w:autoRedefine/>
    <w:qFormat/>
    <w:uiPriority w:val="0"/>
    <w:pPr>
      <w:spacing w:before="240" w:after="60" w:line="312" w:lineRule="auto"/>
      <w:jc w:val="center"/>
      <w:outlineLvl w:val="1"/>
    </w:pPr>
    <w:rPr>
      <w:rFonts w:ascii="Cambria" w:hAnsi="Cambria"/>
      <w:b/>
      <w:bCs/>
      <w:kern w:val="28"/>
      <w:sz w:val="32"/>
      <w:szCs w:val="32"/>
    </w:rPr>
  </w:style>
  <w:style w:type="paragraph" w:styleId="17">
    <w:name w:val="Body Text Indent 3"/>
    <w:basedOn w:val="1"/>
    <w:link w:val="36"/>
    <w:autoRedefine/>
    <w:qFormat/>
    <w:uiPriority w:val="0"/>
    <w:pPr>
      <w:spacing w:after="120"/>
      <w:ind w:left="420" w:leftChars="200"/>
    </w:pPr>
    <w:rPr>
      <w:sz w:val="16"/>
      <w:szCs w:val="16"/>
    </w:rPr>
  </w:style>
  <w:style w:type="paragraph" w:styleId="18">
    <w:name w:val="toc 2"/>
    <w:basedOn w:val="1"/>
    <w:next w:val="1"/>
    <w:autoRedefine/>
    <w:qFormat/>
    <w:uiPriority w:val="39"/>
    <w:pPr>
      <w:ind w:left="420" w:leftChars="200"/>
    </w:pPr>
  </w:style>
  <w:style w:type="paragraph" w:styleId="19">
    <w:name w:val="Normal (Web)"/>
    <w:basedOn w:val="1"/>
    <w:autoRedefine/>
    <w:qFormat/>
    <w:uiPriority w:val="0"/>
    <w:pPr>
      <w:spacing w:beforeAutospacing="1" w:after="0" w:afterAutospacing="1"/>
      <w:ind w:left="880" w:leftChars="100" w:right="100" w:rightChars="100"/>
    </w:pPr>
    <w:rPr>
      <w:rFonts w:eastAsia="仿宋_GB2312" w:cs="Times New Roman"/>
      <w:b/>
      <w:sz w:val="30"/>
    </w:rPr>
  </w:style>
  <w:style w:type="paragraph" w:styleId="20">
    <w:name w:val="Title"/>
    <w:basedOn w:val="1"/>
    <w:next w:val="1"/>
    <w:autoRedefine/>
    <w:qFormat/>
    <w:uiPriority w:val="10"/>
    <w:pPr>
      <w:spacing w:before="240" w:after="60"/>
      <w:jc w:val="center"/>
      <w:outlineLvl w:val="0"/>
    </w:pPr>
    <w:rPr>
      <w:rFonts w:eastAsia="仿宋_GB2312" w:asciiTheme="majorHAnsi" w:hAnsiTheme="majorHAnsi" w:cstheme="majorBidi"/>
      <w:b/>
      <w:bCs/>
      <w:sz w:val="36"/>
      <w:szCs w:val="32"/>
    </w:rPr>
  </w:style>
  <w:style w:type="paragraph" w:styleId="21">
    <w:name w:val="annotation subject"/>
    <w:basedOn w:val="9"/>
    <w:next w:val="9"/>
    <w:link w:val="34"/>
    <w:autoRedefine/>
    <w:qFormat/>
    <w:uiPriority w:val="0"/>
    <w:rPr>
      <w:rFonts w:ascii="Tahoma" w:hAnsi="Tahoma"/>
      <w:b/>
      <w:bCs/>
    </w:rPr>
  </w:style>
  <w:style w:type="table" w:styleId="23">
    <w:name w:val="Table Grid"/>
    <w:basedOn w:val="2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basedOn w:val="24"/>
    <w:autoRedefine/>
    <w:qFormat/>
    <w:uiPriority w:val="0"/>
  </w:style>
  <w:style w:type="character" w:styleId="26">
    <w:name w:val="Hyperlink"/>
    <w:basedOn w:val="24"/>
    <w:autoRedefine/>
    <w:unhideWhenUsed/>
    <w:qFormat/>
    <w:uiPriority w:val="99"/>
    <w:rPr>
      <w:color w:val="0563C1" w:themeColor="hyperlink"/>
      <w:u w:val="single"/>
      <w14:textFill>
        <w14:solidFill>
          <w14:schemeClr w14:val="hlink"/>
        </w14:solidFill>
      </w14:textFill>
    </w:rPr>
  </w:style>
  <w:style w:type="character" w:styleId="27">
    <w:name w:val="annotation reference"/>
    <w:basedOn w:val="24"/>
    <w:autoRedefine/>
    <w:qFormat/>
    <w:uiPriority w:val="99"/>
    <w:rPr>
      <w:sz w:val="21"/>
      <w:szCs w:val="21"/>
    </w:rPr>
  </w:style>
  <w:style w:type="paragraph" w:customStyle="1" w:styleId="28">
    <w:name w:val="Default"/>
    <w:autoRedefine/>
    <w:unhideWhenUsed/>
    <w:qFormat/>
    <w:uiPriority w:val="99"/>
    <w:pPr>
      <w:widowControl w:val="0"/>
      <w:autoSpaceDE w:val="0"/>
      <w:autoSpaceDN w:val="0"/>
      <w:adjustRightInd w:val="0"/>
    </w:pPr>
    <w:rPr>
      <w:rFonts w:ascii="仿宋" w:hAnsi="仿宋" w:eastAsia="仿宋" w:cs="Times New Roman"/>
      <w:color w:val="000000"/>
      <w:sz w:val="24"/>
      <w:lang w:val="en-US" w:eastAsia="zh-CN" w:bidi="ar-SA"/>
    </w:rPr>
  </w:style>
  <w:style w:type="paragraph" w:customStyle="1" w:styleId="29">
    <w:name w:val="Index8"/>
    <w:basedOn w:val="1"/>
    <w:next w:val="1"/>
    <w:autoRedefine/>
    <w:qFormat/>
    <w:uiPriority w:val="0"/>
    <w:pPr>
      <w:widowControl w:val="0"/>
      <w:adjustRightInd/>
      <w:snapToGrid/>
      <w:spacing w:after="0" w:line="276" w:lineRule="auto"/>
      <w:jc w:val="both"/>
    </w:pPr>
    <w:rPr>
      <w:rFonts w:ascii="Times New Roman" w:hAnsi="Times New Roman" w:eastAsia="宋体" w:cs="Times New Roman"/>
      <w:color w:val="FF0000"/>
      <w:kern w:val="2"/>
      <w:sz w:val="21"/>
      <w:szCs w:val="21"/>
    </w:rPr>
  </w:style>
  <w:style w:type="paragraph" w:customStyle="1" w:styleId="30">
    <w:name w:val="WPSOffice手动目录 1"/>
    <w:autoRedefine/>
    <w:qFormat/>
    <w:uiPriority w:val="0"/>
    <w:rPr>
      <w:rFonts w:ascii="Times New Roman" w:hAnsi="Times New Roman" w:eastAsia="宋体" w:cs="Times New Roman"/>
      <w:lang w:val="en-US" w:eastAsia="zh-CN" w:bidi="ar-SA"/>
    </w:rPr>
  </w:style>
  <w:style w:type="paragraph" w:customStyle="1" w:styleId="31">
    <w:name w:val="列出段落1"/>
    <w:basedOn w:val="1"/>
    <w:autoRedefine/>
    <w:qFormat/>
    <w:uiPriority w:val="34"/>
    <w:pPr>
      <w:ind w:firstLine="420" w:firstLineChars="200"/>
    </w:pPr>
  </w:style>
  <w:style w:type="character" w:customStyle="1" w:styleId="32">
    <w:name w:val="批注框文本 字符"/>
    <w:basedOn w:val="24"/>
    <w:link w:val="12"/>
    <w:autoRedefine/>
    <w:qFormat/>
    <w:uiPriority w:val="0"/>
    <w:rPr>
      <w:rFonts w:ascii="Tahoma" w:hAnsi="Tahoma" w:eastAsia="微软雅黑"/>
      <w:sz w:val="18"/>
      <w:szCs w:val="18"/>
    </w:rPr>
  </w:style>
  <w:style w:type="character" w:customStyle="1" w:styleId="33">
    <w:name w:val="批注文字 字符"/>
    <w:basedOn w:val="24"/>
    <w:link w:val="9"/>
    <w:autoRedefine/>
    <w:qFormat/>
    <w:uiPriority w:val="0"/>
    <w:rPr>
      <w:rFonts w:ascii="Times New Roman" w:hAnsi="Times New Roman" w:eastAsia="微软雅黑"/>
      <w:sz w:val="22"/>
      <w:szCs w:val="22"/>
    </w:rPr>
  </w:style>
  <w:style w:type="character" w:customStyle="1" w:styleId="34">
    <w:name w:val="批注主题 字符"/>
    <w:basedOn w:val="33"/>
    <w:link w:val="21"/>
    <w:autoRedefine/>
    <w:qFormat/>
    <w:uiPriority w:val="0"/>
    <w:rPr>
      <w:rFonts w:ascii="Tahoma" w:hAnsi="Tahoma" w:eastAsia="微软雅黑"/>
      <w:b/>
      <w:bCs/>
      <w:sz w:val="22"/>
      <w:szCs w:val="22"/>
    </w:rPr>
  </w:style>
  <w:style w:type="character" w:customStyle="1" w:styleId="35">
    <w:name w:val="标题 1 字符"/>
    <w:basedOn w:val="24"/>
    <w:link w:val="5"/>
    <w:autoRedefine/>
    <w:qFormat/>
    <w:uiPriority w:val="0"/>
    <w:rPr>
      <w:rFonts w:ascii="Tahoma" w:hAnsi="Tahoma" w:eastAsia="仿宋_GB2312" w:cs="Times New Roman"/>
      <w:b/>
      <w:sz w:val="30"/>
      <w:szCs w:val="22"/>
    </w:rPr>
  </w:style>
  <w:style w:type="character" w:customStyle="1" w:styleId="36">
    <w:name w:val="正文文本缩进 3 字符"/>
    <w:basedOn w:val="24"/>
    <w:link w:val="17"/>
    <w:autoRedefine/>
    <w:qFormat/>
    <w:uiPriority w:val="0"/>
    <w:rPr>
      <w:rFonts w:ascii="Tahoma" w:hAnsi="Tahoma" w:eastAsia="微软雅黑"/>
      <w:sz w:val="16"/>
      <w:szCs w:val="16"/>
    </w:rPr>
  </w:style>
  <w:style w:type="character" w:customStyle="1" w:styleId="37">
    <w:name w:val="正文文本缩进 2 字符"/>
    <w:basedOn w:val="24"/>
    <w:link w:val="11"/>
    <w:autoRedefine/>
    <w:qFormat/>
    <w:uiPriority w:val="0"/>
    <w:rPr>
      <w:rFonts w:ascii="Tahoma" w:hAnsi="Tahoma" w:eastAsia="微软雅黑"/>
      <w:sz w:val="22"/>
      <w:szCs w:val="22"/>
    </w:rPr>
  </w:style>
  <w:style w:type="character" w:customStyle="1" w:styleId="38">
    <w:name w:val="标题 2 字符"/>
    <w:basedOn w:val="24"/>
    <w:link w:val="6"/>
    <w:autoRedefine/>
    <w:qFormat/>
    <w:uiPriority w:val="9"/>
    <w:rPr>
      <w:rFonts w:ascii="Tahoma" w:hAnsi="Tahoma" w:eastAsia="仿宋_GB2312" w:cs="Times New Roman"/>
      <w:b/>
      <w:sz w:val="30"/>
      <w:szCs w:val="22"/>
    </w:rPr>
  </w:style>
  <w:style w:type="paragraph" w:customStyle="1" w:styleId="39">
    <w:name w:val="修订1"/>
    <w:autoRedefine/>
    <w:hidden/>
    <w:semiHidden/>
    <w:qFormat/>
    <w:uiPriority w:val="99"/>
    <w:rPr>
      <w:rFonts w:ascii="Tahoma" w:hAnsi="Tahoma" w:eastAsia="微软雅黑" w:cstheme="minorBidi"/>
      <w:sz w:val="22"/>
      <w:szCs w:val="22"/>
      <w:lang w:val="en-US" w:eastAsia="zh-CN" w:bidi="ar-SA"/>
    </w:rPr>
  </w:style>
  <w:style w:type="paragraph" w:customStyle="1" w:styleId="40">
    <w:name w:val="GW-正文"/>
    <w:basedOn w:val="1"/>
    <w:link w:val="41"/>
    <w:autoRedefine/>
    <w:qFormat/>
    <w:uiPriority w:val="0"/>
    <w:pPr>
      <w:widowControl w:val="0"/>
      <w:adjustRightInd/>
      <w:snapToGrid/>
      <w:spacing w:after="0" w:line="360" w:lineRule="auto"/>
      <w:ind w:firstLine="200" w:firstLineChars="200"/>
      <w:jc w:val="both"/>
    </w:pPr>
    <w:rPr>
      <w:rFonts w:ascii="Calibri" w:hAnsi="Calibri" w:eastAsia="仿宋_GB2312" w:cs="Times New Roman"/>
      <w:kern w:val="2"/>
      <w:sz w:val="24"/>
      <w:szCs w:val="24"/>
    </w:rPr>
  </w:style>
  <w:style w:type="character" w:customStyle="1" w:styleId="41">
    <w:name w:val="GW-正文 Char"/>
    <w:link w:val="40"/>
    <w:autoRedefine/>
    <w:qFormat/>
    <w:uiPriority w:val="0"/>
    <w:rPr>
      <w:rFonts w:ascii="Calibri" w:hAnsi="Calibri" w:eastAsia="仿宋_GB2312"/>
      <w:kern w:val="2"/>
      <w:sz w:val="24"/>
      <w:szCs w:val="24"/>
    </w:rPr>
  </w:style>
  <w:style w:type="paragraph" w:customStyle="1" w:styleId="42">
    <w:name w:val="List Paragraph"/>
    <w:basedOn w:val="1"/>
    <w:autoRedefine/>
    <w:qFormat/>
    <w:uiPriority w:val="99"/>
    <w:pPr>
      <w:ind w:firstLine="420" w:firstLineChars="200"/>
    </w:pPr>
  </w:style>
  <w:style w:type="character" w:customStyle="1" w:styleId="43">
    <w:name w:val="文档结构图 字符"/>
    <w:link w:val="8"/>
    <w:autoRedefine/>
    <w:qFormat/>
    <w:uiPriority w:val="0"/>
    <w:rPr>
      <w:rFonts w:ascii="宋体"/>
      <w:kern w:val="2"/>
      <w:sz w:val="18"/>
      <w:szCs w:val="18"/>
    </w:rPr>
  </w:style>
  <w:style w:type="character" w:customStyle="1" w:styleId="44">
    <w:name w:val="文档结构图 Char1"/>
    <w:basedOn w:val="24"/>
    <w:autoRedefine/>
    <w:qFormat/>
    <w:uiPriority w:val="0"/>
    <w:rPr>
      <w:rFonts w:ascii="Microsoft YaHei UI" w:hAnsi="Tahoma" w:eastAsia="Microsoft YaHei UI" w:cstheme="minorBidi"/>
      <w:sz w:val="18"/>
      <w:szCs w:val="18"/>
    </w:rPr>
  </w:style>
  <w:style w:type="paragraph" w:customStyle="1" w:styleId="45">
    <w:name w:val="Table Paragraph"/>
    <w:basedOn w:val="1"/>
    <w:autoRedefine/>
    <w:qFormat/>
    <w:uiPriority w:val="1"/>
    <w:pPr>
      <w:widowControl w:val="0"/>
      <w:adjustRightInd/>
      <w:snapToGrid/>
      <w:spacing w:after="0"/>
    </w:pPr>
    <w:rPr>
      <w:rFonts w:ascii="Calibri" w:hAnsi="Calibri" w:eastAsia="宋体" w:cs="Times New Roman"/>
      <w:lang w:eastAsia="en-US"/>
    </w:rPr>
  </w:style>
  <w:style w:type="paragraph" w:customStyle="1" w:styleId="46">
    <w:name w:val="TOC 标题1"/>
    <w:basedOn w:val="5"/>
    <w:next w:val="1"/>
    <w:autoRedefine/>
    <w:unhideWhenUsed/>
    <w:qFormat/>
    <w:uiPriority w:val="39"/>
    <w:pPr>
      <w:keepNext/>
      <w:keepLines/>
      <w:adjustRightInd/>
      <w:snapToGrid/>
      <w:spacing w:before="240" w:after="0" w:line="259" w:lineRule="auto"/>
      <w:outlineLvl w:val="9"/>
    </w:pPr>
    <w:rPr>
      <w:rFonts w:asciiTheme="majorHAnsi" w:hAnsiTheme="majorHAnsi" w:eastAsiaTheme="majorEastAsia" w:cstheme="majorBidi"/>
      <w:color w:val="2E75B6" w:themeColor="accent1" w:themeShade="BF"/>
      <w:sz w:val="32"/>
      <w:szCs w:val="32"/>
    </w:rPr>
  </w:style>
  <w:style w:type="character" w:customStyle="1" w:styleId="47">
    <w:name w:val="页脚 字符"/>
    <w:basedOn w:val="24"/>
    <w:link w:val="13"/>
    <w:autoRedefine/>
    <w:qFormat/>
    <w:uiPriority w:val="99"/>
    <w:rPr>
      <w:rFonts w:ascii="Tahoma" w:hAnsi="Tahoma" w:eastAsia="微软雅黑" w:cstheme="minorBidi"/>
      <w:sz w:val="18"/>
      <w:szCs w:val="18"/>
    </w:rPr>
  </w:style>
  <w:style w:type="character" w:customStyle="1" w:styleId="48">
    <w:name w:val="正文首行缩进 2 字符"/>
    <w:basedOn w:val="49"/>
    <w:link w:val="2"/>
    <w:autoRedefine/>
    <w:qFormat/>
    <w:uiPriority w:val="0"/>
    <w:rPr>
      <w:rFonts w:hint="default" w:ascii="??" w:hAnsi="??" w:eastAsia="??" w:cs="??"/>
      <w:kern w:val="2"/>
      <w:sz w:val="21"/>
      <w:szCs w:val="22"/>
    </w:rPr>
  </w:style>
  <w:style w:type="character" w:customStyle="1" w:styleId="49">
    <w:name w:val="正文文本缩进 字符"/>
    <w:basedOn w:val="24"/>
    <w:link w:val="3"/>
    <w:autoRedefine/>
    <w:qFormat/>
    <w:uiPriority w:val="0"/>
    <w:rPr>
      <w:rFonts w:hint="default" w:ascii="??" w:hAnsi="??" w:eastAsia="??" w:cs="??"/>
      <w:kern w:val="2"/>
      <w:sz w:val="21"/>
      <w:szCs w:val="22"/>
    </w:rPr>
  </w:style>
  <w:style w:type="paragraph" w:customStyle="1" w:styleId="50">
    <w:name w:val="正文文本缩进 2 Char Char"/>
    <w:basedOn w:val="1"/>
    <w:qFormat/>
    <w:uiPriority w:val="99"/>
    <w:pPr>
      <w:spacing w:line="480" w:lineRule="exact"/>
      <w:ind w:firstLine="560" w:firstLineChars="200"/>
    </w:pPr>
    <w:rPr>
      <w:rFonts w:cs="Times New Roman" w:asciiTheme="minorHAnsi" w:hAnsiTheme="minorHAnsi" w:eastAsiaTheme="minorEastAsi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2825C-93EF-45BC-8DD8-D3911FEB264D}">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42</Pages>
  <Words>14228</Words>
  <Characters>14573</Characters>
  <Lines>117</Lines>
  <Paragraphs>33</Paragraphs>
  <TotalTime>5</TotalTime>
  <ScaleCrop>false</ScaleCrop>
  <LinksUpToDate>false</LinksUpToDate>
  <CharactersWithSpaces>15634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2022-02-27T09:03:00Z</dcterms:created>
  <dc:creator>徐驰</dc:creator>
  <cp:lastModifiedBy>创企科技</cp:lastModifiedBy>
  <cp:lastPrinted>2022-02-24T08:07:00Z</cp:lastPrinted>
  <dcterms:modified xsi:type="dcterms:W3CDTF">2024-01-12T09:53:39Z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B123713792114771AD553C24D93090E4_13</vt:lpwstr>
  </property>
</Properties>
</file>