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keepLines/>
        <w:spacing w:after="0" w:line="570" w:lineRule="exact"/>
        <w:jc w:val="both"/>
        <w:outlineLvl w:val="9"/>
        <w:rPr>
          <w:rFonts w:ascii="黑体" w:hAnsi="黑体" w:eastAsia="PMingLiU"/>
          <w:color w:val="auto"/>
          <w:sz w:val="32"/>
        </w:rPr>
      </w:pPr>
      <w:bookmarkStart w:id="3" w:name="_GoBack"/>
      <w:bookmarkEnd w:id="3"/>
      <w:bookmarkStart w:id="0" w:name="bookmark28"/>
      <w:bookmarkStart w:id="1" w:name="bookmark26"/>
      <w:bookmarkStart w:id="2" w:name="bookmark27"/>
      <w:r>
        <w:rPr>
          <w:rFonts w:hint="eastAsia" w:ascii="黑体" w:hAnsi="黑体" w:eastAsia="黑体"/>
          <w:color w:val="auto"/>
          <w:sz w:val="32"/>
        </w:rPr>
        <w:t>附件</w:t>
      </w:r>
    </w:p>
    <w:p>
      <w:pPr>
        <w:pStyle w:val="6"/>
        <w:keepNext/>
        <w:keepLines/>
        <w:spacing w:after="0" w:line="640" w:lineRule="exact"/>
        <w:outlineLvl w:val="0"/>
        <w:rPr>
          <w:rFonts w:ascii="Times New Roman" w:hAnsi="黑体" w:eastAsia="方正小标宋简体"/>
          <w:color w:val="auto"/>
          <w:sz w:val="44"/>
        </w:rPr>
      </w:pPr>
    </w:p>
    <w:p>
      <w:pPr>
        <w:pStyle w:val="6"/>
        <w:keepNext/>
        <w:keepLines/>
        <w:spacing w:after="0" w:line="640" w:lineRule="exact"/>
        <w:outlineLvl w:val="0"/>
        <w:rPr>
          <w:rFonts w:ascii="Times New Roman" w:eastAsia="方正小标宋简体"/>
          <w:color w:val="39413F"/>
          <w:sz w:val="44"/>
        </w:rPr>
      </w:pPr>
      <w:r>
        <w:rPr>
          <w:rFonts w:ascii="Times New Roman" w:eastAsia="方正小标宋简体"/>
          <w:color w:val="39413F"/>
          <w:sz w:val="44"/>
        </w:rPr>
        <w:t>第</w:t>
      </w:r>
      <w:r>
        <w:rPr>
          <w:rFonts w:hint="eastAsia" w:ascii="Times New Roman" w:hAnsi="Times New Roman" w:eastAsia="方正小标宋简体" w:cs="Times New Roman"/>
          <w:color w:val="39413F"/>
          <w:sz w:val="44"/>
          <w:szCs w:val="42"/>
          <w:lang w:val="en-US" w:eastAsia="zh-CN"/>
        </w:rPr>
        <w:t>三</w:t>
      </w:r>
      <w:r>
        <w:rPr>
          <w:rFonts w:ascii="Times New Roman" w:eastAsia="方正小标宋简体"/>
          <w:color w:val="39413F"/>
          <w:sz w:val="44"/>
        </w:rPr>
        <w:t>轮省级生态环境保护督察第</w:t>
      </w:r>
      <w:r>
        <w:rPr>
          <w:rFonts w:hint="eastAsia" w:ascii="Times New Roman" w:hAnsi="Times New Roman" w:eastAsia="方正小标宋简体" w:cs="Times New Roman"/>
          <w:color w:val="39413F"/>
          <w:sz w:val="44"/>
          <w:szCs w:val="42"/>
          <w:lang w:val="en-US" w:eastAsia="zh-CN"/>
        </w:rPr>
        <w:t>六</w:t>
      </w:r>
      <w:r>
        <w:rPr>
          <w:rFonts w:ascii="Times New Roman" w:eastAsia="方正小标宋简体"/>
          <w:color w:val="39413F"/>
          <w:sz w:val="44"/>
        </w:rPr>
        <w:t>项</w:t>
      </w:r>
    </w:p>
    <w:p>
      <w:pPr>
        <w:pStyle w:val="6"/>
        <w:keepNext/>
        <w:keepLines/>
        <w:spacing w:after="0" w:line="640" w:lineRule="exact"/>
        <w:outlineLvl w:val="0"/>
        <w:rPr>
          <w:rFonts w:ascii="Times New Roman" w:eastAsia="方正小标宋简体"/>
          <w:color w:val="39413F"/>
          <w:sz w:val="44"/>
        </w:rPr>
      </w:pPr>
      <w:r>
        <w:rPr>
          <w:rFonts w:ascii="Times New Roman" w:eastAsia="方正小标宋简体"/>
          <w:color w:val="39413F"/>
          <w:sz w:val="44"/>
        </w:rPr>
        <w:t>整改任务完成情况表</w:t>
      </w:r>
      <w:bookmarkEnd w:id="0"/>
      <w:bookmarkEnd w:id="1"/>
      <w:bookmarkEnd w:id="2"/>
    </w:p>
    <w:p>
      <w:pPr>
        <w:pStyle w:val="6"/>
        <w:keepNext/>
        <w:keepLines/>
        <w:spacing w:after="0" w:line="640" w:lineRule="exact"/>
        <w:outlineLvl w:val="0"/>
        <w:rPr>
          <w:rFonts w:ascii="Times New Roman" w:eastAsia="方正小标宋简体"/>
          <w:sz w:val="44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80"/>
        <w:gridCol w:w="648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560" w:lineRule="exact"/>
              <w:ind w:firstLine="0"/>
              <w:jc w:val="center"/>
              <w:outlineLvl w:val="1"/>
              <w:rPr>
                <w:rFonts w:ascii="Times New Roman" w:hAnsi="黑体" w:eastAsia="黑体"/>
              </w:rPr>
            </w:pPr>
            <w:r>
              <w:rPr>
                <w:rFonts w:ascii="Times New Roman" w:hAnsi="黑体" w:eastAsia="黑体"/>
                <w:color w:val="39413F"/>
              </w:rPr>
              <w:t>整改任务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50" w:lineRule="exact"/>
              <w:jc w:val="both"/>
              <w:rPr>
                <w:rFonts w:ascii="仿宋_GB2312" w:hAnsi="宋体" w:eastAsia="仿宋_GB2312" w:cs="宋体"/>
                <w:szCs w:val="32"/>
                <w:lang w:eastAsia="zh-CN"/>
              </w:rPr>
            </w:pPr>
            <w:r>
              <w:rPr>
                <w:rFonts w:hint="eastAsia" w:eastAsia="仿宋_GB2312"/>
                <w:color w:val="auto"/>
                <w:szCs w:val="32"/>
                <w:lang w:eastAsia="zh-CN"/>
              </w:rPr>
              <w:t>蜀道集团对下属企业存在的生态环境突出问题掌握不全，下属企业责任落实不力，有的甚至采取瞒报的方式消极应付。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2" w:hRule="exac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560" w:lineRule="exact"/>
              <w:ind w:firstLine="0"/>
              <w:jc w:val="center"/>
              <w:outlineLvl w:val="1"/>
              <w:rPr>
                <w:rFonts w:ascii="Times New Roman" w:hAnsi="黑体" w:eastAsia="黑体"/>
              </w:rPr>
            </w:pPr>
            <w:r>
              <w:rPr>
                <w:rFonts w:ascii="Times New Roman" w:hAnsi="黑体" w:eastAsia="黑体"/>
                <w:color w:val="39413F"/>
              </w:rPr>
              <w:t>整改责任单位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50" w:lineRule="exact"/>
              <w:jc w:val="both"/>
              <w:rPr>
                <w:rFonts w:ascii="仿宋_GB2312" w:hAnsi="宋体" w:eastAsia="仿宋_GB2312" w:cs="宋体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Cs w:val="32"/>
                <w:lang w:eastAsia="zh-CN"/>
              </w:rPr>
              <w:t>四川</w:t>
            </w:r>
            <w:r>
              <w:rPr>
                <w:rFonts w:hint="eastAsia" w:ascii="仿宋_GB2312" w:hAnsi="宋体" w:eastAsia="仿宋_GB2312" w:cs="宋体"/>
                <w:szCs w:val="32"/>
                <w:lang w:val="en-US" w:eastAsia="zh-CN"/>
              </w:rPr>
              <w:t>蜀道铁路运营管理</w:t>
            </w:r>
            <w:r>
              <w:rPr>
                <w:rFonts w:hint="eastAsia" w:ascii="仿宋_GB2312" w:hAnsi="宋体" w:eastAsia="仿宋_GB2312" w:cs="宋体"/>
                <w:szCs w:val="32"/>
                <w:lang w:eastAsia="zh-CN"/>
              </w:rPr>
              <w:t>集团有限</w:t>
            </w:r>
            <w:r>
              <w:rPr>
                <w:rFonts w:hint="eastAsia" w:ascii="仿宋_GB2312" w:hAnsi="宋体" w:eastAsia="仿宋_GB2312" w:cs="宋体"/>
                <w:szCs w:val="32"/>
                <w:lang w:val="en-US" w:eastAsia="zh-CN"/>
              </w:rPr>
              <w:t>责任</w:t>
            </w:r>
            <w:r>
              <w:rPr>
                <w:rFonts w:hint="eastAsia" w:ascii="仿宋_GB2312" w:hAnsi="宋体" w:eastAsia="仿宋_GB2312" w:cs="宋体"/>
                <w:szCs w:val="32"/>
                <w:lang w:eastAsia="zh-CN"/>
              </w:rPr>
              <w:t>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2" w:hRule="exac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560" w:lineRule="exact"/>
              <w:ind w:firstLine="0"/>
              <w:jc w:val="center"/>
              <w:outlineLvl w:val="1"/>
              <w:rPr>
                <w:rFonts w:ascii="Times New Roman" w:hAnsi="黑体" w:eastAsia="黑体"/>
              </w:rPr>
            </w:pPr>
            <w:r>
              <w:rPr>
                <w:rFonts w:ascii="Times New Roman" w:hAnsi="黑体" w:eastAsia="黑体"/>
                <w:color w:val="39413F"/>
              </w:rPr>
              <w:t>整改目标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50" w:lineRule="exact"/>
              <w:jc w:val="both"/>
              <w:rPr>
                <w:rFonts w:ascii="仿宋_GB2312" w:eastAsia="仿宋_GB2312"/>
                <w:szCs w:val="32"/>
                <w:lang w:eastAsia="zh-CN"/>
              </w:rPr>
            </w:pPr>
            <w:r>
              <w:rPr>
                <w:rFonts w:hint="eastAsia" w:eastAsia="仿宋_GB2312"/>
                <w:color w:val="auto"/>
                <w:szCs w:val="32"/>
                <w:lang w:eastAsia="zh-CN"/>
              </w:rPr>
              <w:t>充分掌握所属企业存在的生态环境突出问题，督促整改，对瞒报行为实施追责问责。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560" w:lineRule="exact"/>
              <w:ind w:firstLine="0"/>
              <w:jc w:val="center"/>
              <w:outlineLvl w:val="1"/>
              <w:rPr>
                <w:rFonts w:ascii="Times New Roman" w:hAnsi="黑体" w:eastAsia="黑体"/>
              </w:rPr>
            </w:pPr>
            <w:r>
              <w:rPr>
                <w:rFonts w:ascii="Times New Roman" w:hAnsi="黑体" w:eastAsia="黑体"/>
                <w:color w:val="1F2121"/>
              </w:rPr>
              <w:t>整改措施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560" w:lineRule="exact"/>
              <w:jc w:val="both"/>
              <w:rPr>
                <w:rFonts w:eastAsia="仿宋_GB2312"/>
                <w:szCs w:val="32"/>
                <w:lang w:eastAsia="zh-CN"/>
              </w:rPr>
            </w:pPr>
            <w:r>
              <w:rPr>
                <w:rFonts w:eastAsia="仿宋_GB2312"/>
                <w:szCs w:val="32"/>
                <w:lang w:eastAsia="zh-CN"/>
              </w:rPr>
              <w:t>1.</w:t>
            </w:r>
            <w:r>
              <w:rPr>
                <w:rFonts w:hint="eastAsia" w:eastAsia="仿宋_GB2312"/>
                <w:szCs w:val="32"/>
                <w:lang w:eastAsia="zh-CN"/>
              </w:rPr>
              <w:t>开展生态环境问题识别排查，按季度收集汇总。开展专项检查、暗查暗访，了解发现企业生态环境突出问题。</w:t>
            </w:r>
          </w:p>
          <w:p>
            <w:pPr>
              <w:spacing w:line="550" w:lineRule="exact"/>
              <w:jc w:val="both"/>
              <w:rPr>
                <w:rFonts w:eastAsia="仿宋_GB2312"/>
                <w:color w:val="auto"/>
                <w:szCs w:val="32"/>
                <w:lang w:eastAsia="zh-CN"/>
              </w:rPr>
            </w:pPr>
            <w:r>
              <w:rPr>
                <w:rFonts w:eastAsia="仿宋_GB2312"/>
                <w:szCs w:val="32"/>
                <w:lang w:eastAsia="zh-CN"/>
              </w:rPr>
              <w:t>2.</w:t>
            </w:r>
            <w:r>
              <w:rPr>
                <w:rFonts w:hint="eastAsia" w:eastAsia="仿宋_GB2312"/>
                <w:szCs w:val="32"/>
                <w:lang w:eastAsia="zh-CN"/>
              </w:rPr>
              <w:t>建立与生态环境执法部门沟通协调机制，多渠道掌握所属企业行政处罚行为信息，建立台账，跟踪督办整改情况。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560" w:lineRule="exact"/>
              <w:ind w:firstLine="0"/>
              <w:jc w:val="center"/>
              <w:outlineLvl w:val="1"/>
              <w:rPr>
                <w:rFonts w:ascii="Times New Roman" w:hAnsi="黑体" w:eastAsia="PMingLiU"/>
                <w:color w:val="1F2121"/>
              </w:rPr>
            </w:pPr>
            <w:r>
              <w:rPr>
                <w:rFonts w:ascii="Times New Roman" w:hAnsi="黑体" w:eastAsia="黑体"/>
                <w:color w:val="1F2121"/>
              </w:rPr>
              <w:t>整改主要工作</w:t>
            </w:r>
          </w:p>
          <w:p>
            <w:pPr>
              <w:pStyle w:val="7"/>
              <w:spacing w:line="560" w:lineRule="exact"/>
              <w:ind w:firstLine="0"/>
              <w:jc w:val="center"/>
              <w:outlineLvl w:val="1"/>
              <w:rPr>
                <w:rFonts w:ascii="Times New Roman" w:hAnsi="黑体" w:eastAsia="黑体"/>
              </w:rPr>
            </w:pPr>
            <w:r>
              <w:rPr>
                <w:rFonts w:ascii="Times New Roman" w:hAnsi="黑体" w:eastAsia="黑体"/>
                <w:color w:val="1F2121"/>
              </w:rPr>
              <w:t>及成效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spacing w:line="550" w:lineRule="exact"/>
              <w:jc w:val="both"/>
              <w:rPr>
                <w:rFonts w:hint="eastAsia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eastAsia="仿宋_GB2312"/>
                <w:color w:val="auto"/>
                <w:sz w:val="32"/>
                <w:szCs w:val="32"/>
                <w:lang w:eastAsia="zh-CN"/>
              </w:rPr>
              <w:t>蜀道铁路</w:t>
            </w:r>
            <w:r>
              <w:rPr>
                <w:rFonts w:hint="eastAsia" w:eastAsia="仿宋_GB2312"/>
                <w:color w:val="auto"/>
                <w:sz w:val="32"/>
                <w:szCs w:val="32"/>
                <w:lang w:val="en-US" w:eastAsia="zh-CN"/>
              </w:rPr>
              <w:t>运营</w:t>
            </w:r>
            <w:r>
              <w:rPr>
                <w:rFonts w:hint="eastAsia" w:eastAsia="仿宋_GB2312"/>
                <w:color w:val="auto"/>
                <w:sz w:val="32"/>
                <w:szCs w:val="32"/>
                <w:lang w:eastAsia="zh-CN"/>
              </w:rPr>
              <w:t>集团已建立《生态环境问题排查整改制度》，每季度收集汇总</w:t>
            </w:r>
            <w:r>
              <w:rPr>
                <w:rFonts w:hint="eastAsia" w:eastAsia="仿宋_GB2312"/>
                <w:color w:val="auto"/>
                <w:sz w:val="32"/>
                <w:szCs w:val="32"/>
                <w:lang w:val="en-US" w:eastAsia="zh-CN"/>
              </w:rPr>
              <w:t>各所属企业</w:t>
            </w:r>
            <w:r>
              <w:rPr>
                <w:rFonts w:hint="eastAsia" w:eastAsia="仿宋_GB2312"/>
                <w:color w:val="auto"/>
                <w:sz w:val="32"/>
                <w:szCs w:val="32"/>
                <w:lang w:eastAsia="zh-CN"/>
              </w:rPr>
              <w:t>生态环境排查问题及整改情况。按生态环境排查制度开展</w:t>
            </w:r>
            <w:r>
              <w:rPr>
                <w:rFonts w:hint="eastAsia" w:eastAsia="仿宋_GB2312"/>
                <w:color w:val="auto"/>
                <w:sz w:val="32"/>
                <w:szCs w:val="32"/>
                <w:lang w:val="en-US" w:eastAsia="zh-CN"/>
              </w:rPr>
              <w:t>综合、</w:t>
            </w:r>
            <w:r>
              <w:rPr>
                <w:rFonts w:hint="eastAsia" w:eastAsia="仿宋_GB2312"/>
                <w:color w:val="auto"/>
                <w:sz w:val="32"/>
                <w:szCs w:val="32"/>
                <w:lang w:eastAsia="zh-CN"/>
              </w:rPr>
              <w:t>专项等检查，跟踪督办环境问题按期整改闭合。</w:t>
            </w:r>
          </w:p>
          <w:p>
            <w:pPr>
              <w:numPr>
                <w:ilvl w:val="0"/>
                <w:numId w:val="0"/>
              </w:numPr>
              <w:spacing w:line="550" w:lineRule="exact"/>
              <w:jc w:val="both"/>
              <w:rPr>
                <w:rFonts w:hint="eastAsia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eastAsia="仿宋_GB2312"/>
                <w:color w:val="auto"/>
                <w:sz w:val="32"/>
                <w:szCs w:val="32"/>
                <w:lang w:eastAsia="zh-CN"/>
              </w:rPr>
              <w:t>已建立蜀道铁路</w:t>
            </w:r>
            <w:r>
              <w:rPr>
                <w:rFonts w:hint="eastAsia" w:eastAsia="仿宋_GB2312"/>
                <w:color w:val="auto"/>
                <w:sz w:val="32"/>
                <w:szCs w:val="32"/>
                <w:lang w:val="en-US" w:eastAsia="zh-CN"/>
              </w:rPr>
              <w:t>运营</w:t>
            </w:r>
            <w:r>
              <w:rPr>
                <w:rFonts w:hint="eastAsia" w:eastAsia="仿宋_GB2312"/>
                <w:color w:val="auto"/>
                <w:sz w:val="32"/>
                <w:szCs w:val="32"/>
                <w:lang w:eastAsia="zh-CN"/>
              </w:rPr>
              <w:t>集团所属</w:t>
            </w:r>
            <w:r>
              <w:rPr>
                <w:rFonts w:hint="eastAsia" w:eastAsia="仿宋_GB2312"/>
                <w:color w:val="auto"/>
                <w:sz w:val="32"/>
                <w:szCs w:val="32"/>
                <w:lang w:val="en-US" w:eastAsia="zh-CN"/>
              </w:rPr>
              <w:t>企业与</w:t>
            </w:r>
            <w:r>
              <w:rPr>
                <w:rFonts w:hint="eastAsia" w:eastAsia="仿宋_GB2312"/>
                <w:color w:val="auto"/>
                <w:sz w:val="32"/>
                <w:szCs w:val="32"/>
                <w:lang w:eastAsia="zh-CN"/>
              </w:rPr>
              <w:t>各属地生态环境保护行政单位联系台账，畅通了企业与行业管理单位生态环境沟通渠道。</w:t>
            </w:r>
          </w:p>
          <w:p>
            <w:pPr>
              <w:numPr>
                <w:ilvl w:val="0"/>
                <w:numId w:val="0"/>
              </w:numPr>
              <w:spacing w:line="550" w:lineRule="exact"/>
              <w:jc w:val="both"/>
              <w:rPr>
                <w:rFonts w:hint="eastAsia" w:eastAsia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eastAsia="仿宋_GB2312"/>
                <w:color w:val="auto"/>
                <w:sz w:val="32"/>
                <w:szCs w:val="32"/>
                <w:lang w:eastAsia="zh-CN"/>
              </w:rPr>
              <w:t>已建立并定期更新所属公司行政</w:t>
            </w:r>
            <w:r>
              <w:rPr>
                <w:rFonts w:hint="eastAsia" w:eastAsia="仿宋_GB2312"/>
                <w:color w:val="auto"/>
                <w:sz w:val="32"/>
                <w:szCs w:val="32"/>
                <w:lang w:val="en-US" w:eastAsia="zh-CN"/>
              </w:rPr>
              <w:t>通报</w:t>
            </w:r>
            <w:r>
              <w:rPr>
                <w:rFonts w:hint="eastAsia" w:eastAsia="仿宋_GB2312"/>
                <w:color w:val="auto"/>
                <w:sz w:val="32"/>
                <w:szCs w:val="32"/>
                <w:lang w:eastAsia="zh-CN"/>
              </w:rPr>
              <w:t>信息台账，跟踪督办整改闭合</w:t>
            </w:r>
            <w:r>
              <w:rPr>
                <w:rFonts w:hint="eastAsia" w:eastAsia="仿宋_GB2312"/>
                <w:color w:val="auto"/>
                <w:sz w:val="30"/>
                <w:szCs w:val="30"/>
                <w:lang w:eastAsia="zh-CN"/>
              </w:rPr>
              <w:t>。</w:t>
            </w:r>
          </w:p>
        </w:tc>
      </w:tr>
    </w:tbl>
    <w:p>
      <w:pPr>
        <w:rPr>
          <w:lang w:eastAsia="zh-CN"/>
        </w:rPr>
      </w:pPr>
    </w:p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7" w:h="16839"/>
      <w:pgMar w:top="2098" w:right="1474" w:bottom="1984" w:left="1587" w:header="850" w:footer="1417" w:gutter="0"/>
      <w:cols w:space="425" w:num="1"/>
      <w:docGrid w:type="linesAndChars" w:linePitch="579" w:charSpace="-8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napToGrid/>
      <w:ind w:right="320" w:rightChars="100"/>
      <w:jc w:val="right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Page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2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napToGrid/>
      <w:ind w:left="320" w:leftChars="100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Page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YmYwNDViMzdjNDhhZjlkZWRiYTdhYzkwMzY1ZDUifQ=="/>
  </w:docVars>
  <w:rsids>
    <w:rsidRoot w:val="51404F80"/>
    <w:rsid w:val="0E0419BD"/>
    <w:rsid w:val="28673FF2"/>
    <w:rsid w:val="2A7F6EDF"/>
    <w:rsid w:val="356F05B4"/>
    <w:rsid w:val="51404F80"/>
    <w:rsid w:val="5E2A4B3A"/>
    <w:rsid w:val="7BBD1C0E"/>
    <w:rsid w:val="7FDB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32"/>
      <w:szCs w:val="24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Heading #2|1"/>
    <w:basedOn w:val="1"/>
    <w:qFormat/>
    <w:uiPriority w:val="0"/>
    <w:pPr>
      <w:spacing w:after="520" w:line="641" w:lineRule="exact"/>
      <w:jc w:val="center"/>
      <w:outlineLvl w:val="1"/>
    </w:pPr>
    <w:rPr>
      <w:rFonts w:ascii="宋体" w:hAnsi="宋体" w:eastAsia="宋体" w:cs="宋体"/>
      <w:sz w:val="46"/>
      <w:szCs w:val="46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spacing w:line="374" w:lineRule="auto"/>
      <w:ind w:firstLine="400"/>
    </w:pPr>
    <w:rPr>
      <w:rFonts w:ascii="宋体" w:hAnsi="宋体" w:eastAsia="宋体" w:cs="宋体"/>
      <w:szCs w:val="3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2023-09-03T01:02:00Z</dcterms:created>
  <dc:creator>该瑞哥</dc:creator>
  <cp:lastModifiedBy>胖胖是只布偶猫</cp:lastModifiedBy>
  <dcterms:modified xsi:type="dcterms:W3CDTF">2023-10-10T06:47:17Z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DB0051955B414BD4A8D67BADDCBEFE9B_13</vt:lpwstr>
  </property>
</Properties>
</file>